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095" w:rsidRDefault="00CA6095" w:rsidP="009C7A86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eastAsia="黑体"/>
          <w:sz w:val="44"/>
          <w:szCs w:val="44"/>
        </w:rPr>
      </w:pPr>
    </w:p>
    <w:p w:rsidR="00CA6095" w:rsidRDefault="00CA6095" w:rsidP="009C7A86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eastAsia="黑体"/>
          <w:sz w:val="44"/>
          <w:szCs w:val="44"/>
        </w:rPr>
      </w:pPr>
    </w:p>
    <w:p w:rsidR="00CA6095" w:rsidRDefault="00E874A6" w:rsidP="009C7A86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绿色食品生产操作规程</w:t>
      </w:r>
    </w:p>
    <w:p w:rsidR="00CA6095" w:rsidRDefault="0017729D" w:rsidP="009C7A86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LB/T </w:t>
      </w:r>
      <w:r>
        <w:rPr>
          <w:rFonts w:eastAsia="黑体" w:hint="eastAsia"/>
          <w:sz w:val="28"/>
          <w:szCs w:val="28"/>
        </w:rPr>
        <w:t>153</w:t>
      </w:r>
      <w:r>
        <w:rPr>
          <w:rFonts w:eastAsia="黑体"/>
          <w:sz w:val="28"/>
          <w:szCs w:val="28"/>
        </w:rPr>
        <w:t>-20</w:t>
      </w:r>
      <w:r>
        <w:rPr>
          <w:rFonts w:eastAsia="黑体" w:hint="eastAsia"/>
          <w:sz w:val="28"/>
          <w:szCs w:val="28"/>
        </w:rPr>
        <w:t>20</w:t>
      </w:r>
    </w:p>
    <w:p w:rsidR="00CA6095" w:rsidRDefault="000D7AA8" w:rsidP="009C7A86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.6pt;margin-top:6pt;width:407.4pt;height:0;z-index:251661312" o:connectortype="straight"/>
        </w:pict>
      </w:r>
    </w:p>
    <w:p w:rsidR="00CA6095" w:rsidRDefault="00CA6095" w:rsidP="009C7A86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A6095" w:rsidRDefault="00CA6095" w:rsidP="009C7A86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A6095" w:rsidRDefault="00CA6095" w:rsidP="009C7A86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A6095" w:rsidRDefault="00CA6095" w:rsidP="009C7A86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A6095" w:rsidRDefault="00E874A6" w:rsidP="009C7A86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="黑体"/>
          <w:sz w:val="48"/>
          <w:szCs w:val="48"/>
        </w:rPr>
      </w:pPr>
      <w:r>
        <w:rPr>
          <w:rFonts w:eastAsia="黑体" w:hint="eastAsia"/>
          <w:sz w:val="48"/>
          <w:szCs w:val="48"/>
        </w:rPr>
        <w:t>北方农牧交错带</w:t>
      </w:r>
    </w:p>
    <w:p w:rsidR="00CA6095" w:rsidRDefault="00CA6095" w:rsidP="009C7A86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="黑体"/>
          <w:sz w:val="18"/>
          <w:szCs w:val="18"/>
        </w:rPr>
      </w:pPr>
    </w:p>
    <w:p w:rsidR="00CA6095" w:rsidRDefault="00E874A6" w:rsidP="009C7A86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绿色食品肉牛养殖规程</w:t>
      </w:r>
    </w:p>
    <w:p w:rsidR="00CA6095" w:rsidRDefault="00CA6095" w:rsidP="009C7A86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A6095" w:rsidRDefault="00CA6095" w:rsidP="009C7A86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A6095" w:rsidRDefault="00CA6095" w:rsidP="009C7A86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A6095" w:rsidRDefault="00CA6095" w:rsidP="009C7A86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A6095" w:rsidRDefault="00CA6095" w:rsidP="009C7A86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A6095" w:rsidRDefault="00CA6095" w:rsidP="009C7A86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A6095" w:rsidRDefault="00CA6095" w:rsidP="009C7A86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A6095" w:rsidRDefault="000D7AA8" w:rsidP="009C7A86">
      <w:pPr>
        <w:pStyle w:val="1"/>
        <w:spacing w:beforeLines="50" w:afterLines="50" w:line="400" w:lineRule="atLeast"/>
        <w:ind w:left="357" w:firstLineChars="100" w:firstLine="210"/>
        <w:contextualSpacing/>
        <w:jc w:val="left"/>
        <w:rPr>
          <w:rFonts w:eastAsia="黑体"/>
          <w:sz w:val="28"/>
          <w:szCs w:val="28"/>
        </w:rPr>
      </w:pPr>
      <w:r w:rsidRPr="000D7AA8">
        <w:pict>
          <v:shape id="AutoShape 2" o:spid="_x0000_s1027" type="#_x0000_t32" style="position:absolute;left:0;text-align:left;margin-left:16.2pt;margin-top:30.45pt;width:382.2pt;height:1.2pt;z-index:251662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"/>
        </w:pict>
      </w:r>
      <w:r w:rsidR="00E874A6">
        <w:rPr>
          <w:rFonts w:eastAsia="黑体"/>
          <w:sz w:val="28"/>
          <w:szCs w:val="28"/>
        </w:rPr>
        <w:t>20</w:t>
      </w:r>
      <w:r w:rsidR="009C7A86">
        <w:rPr>
          <w:rFonts w:eastAsia="黑体" w:hint="eastAsia"/>
          <w:sz w:val="28"/>
          <w:szCs w:val="28"/>
        </w:rPr>
        <w:t>20</w:t>
      </w:r>
      <w:r w:rsidR="00E874A6">
        <w:rPr>
          <w:rFonts w:eastAsia="黑体"/>
          <w:sz w:val="28"/>
          <w:szCs w:val="28"/>
        </w:rPr>
        <w:t>-</w:t>
      </w:r>
      <w:r w:rsidR="009C7A86">
        <w:rPr>
          <w:rFonts w:eastAsia="黑体" w:hint="eastAsia"/>
          <w:sz w:val="28"/>
          <w:szCs w:val="28"/>
        </w:rPr>
        <w:t>08</w:t>
      </w:r>
      <w:r w:rsidR="00E874A6">
        <w:rPr>
          <w:rFonts w:eastAsia="黑体"/>
          <w:sz w:val="28"/>
          <w:szCs w:val="28"/>
        </w:rPr>
        <w:t>-</w:t>
      </w:r>
      <w:r w:rsidR="009C7A86">
        <w:rPr>
          <w:rFonts w:eastAsia="黑体" w:hint="eastAsia"/>
          <w:sz w:val="28"/>
          <w:szCs w:val="28"/>
        </w:rPr>
        <w:t>20</w:t>
      </w:r>
      <w:r w:rsidR="00E874A6">
        <w:rPr>
          <w:rFonts w:eastAsia="黑体"/>
          <w:sz w:val="28"/>
          <w:szCs w:val="28"/>
        </w:rPr>
        <w:t>发布</w:t>
      </w:r>
      <w:r w:rsidR="00E874A6">
        <w:rPr>
          <w:rFonts w:eastAsia="黑体"/>
          <w:sz w:val="28"/>
          <w:szCs w:val="28"/>
        </w:rPr>
        <w:t xml:space="preserve">                       20</w:t>
      </w:r>
      <w:r w:rsidR="009C7A86">
        <w:rPr>
          <w:rFonts w:eastAsia="黑体" w:hint="eastAsia"/>
          <w:sz w:val="28"/>
          <w:szCs w:val="28"/>
        </w:rPr>
        <w:t>20</w:t>
      </w:r>
      <w:r w:rsidR="00E874A6">
        <w:rPr>
          <w:rFonts w:eastAsia="黑体"/>
          <w:sz w:val="28"/>
          <w:szCs w:val="28"/>
        </w:rPr>
        <w:t>-</w:t>
      </w:r>
      <w:r w:rsidR="009C7A86">
        <w:rPr>
          <w:rFonts w:eastAsia="黑体" w:hint="eastAsia"/>
          <w:sz w:val="28"/>
          <w:szCs w:val="28"/>
        </w:rPr>
        <w:t>11</w:t>
      </w:r>
      <w:r w:rsidR="00E874A6">
        <w:rPr>
          <w:rFonts w:eastAsia="黑体"/>
          <w:sz w:val="28"/>
          <w:szCs w:val="28"/>
        </w:rPr>
        <w:t>-</w:t>
      </w:r>
      <w:r w:rsidR="009C7A86">
        <w:rPr>
          <w:rFonts w:eastAsia="黑体" w:hint="eastAsia"/>
          <w:sz w:val="28"/>
          <w:szCs w:val="28"/>
        </w:rPr>
        <w:t>01</w:t>
      </w:r>
      <w:r w:rsidR="00E874A6">
        <w:rPr>
          <w:rFonts w:eastAsia="黑体"/>
          <w:sz w:val="28"/>
          <w:szCs w:val="28"/>
        </w:rPr>
        <w:t>实施</w:t>
      </w:r>
    </w:p>
    <w:p w:rsidR="00CA6095" w:rsidRDefault="00E874A6" w:rsidP="009C7A86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pacing w:val="20"/>
          <w:sz w:val="28"/>
          <w:szCs w:val="28"/>
        </w:rPr>
        <w:sectPr w:rsidR="00CA6095">
          <w:footerReference w:type="default" r:id="rId7"/>
          <w:pgSz w:w="11906" w:h="16838"/>
          <w:pgMar w:top="1440" w:right="1800" w:bottom="1440" w:left="1800" w:header="851" w:footer="992" w:gutter="0"/>
          <w:pgNumType w:fmt="numberInDash" w:start="1"/>
          <w:cols w:space="425"/>
          <w:docGrid w:type="lines" w:linePitch="312"/>
        </w:sectPr>
      </w:pPr>
      <w:r>
        <w:rPr>
          <w:rFonts w:eastAsia="华文中宋"/>
          <w:spacing w:val="20"/>
          <w:kern w:val="0"/>
          <w:sz w:val="32"/>
          <w:szCs w:val="32"/>
        </w:rPr>
        <w:t>中国绿色食品发展中心</w:t>
      </w:r>
      <w:r>
        <w:rPr>
          <w:rFonts w:eastAsia="华文中宋"/>
          <w:spacing w:val="20"/>
          <w:kern w:val="0"/>
          <w:sz w:val="32"/>
          <w:szCs w:val="32"/>
        </w:rPr>
        <w:t xml:space="preserve"> </w:t>
      </w:r>
      <w:r>
        <w:rPr>
          <w:rFonts w:eastAsia="黑体"/>
          <w:spacing w:val="20"/>
          <w:sz w:val="28"/>
          <w:szCs w:val="28"/>
        </w:rPr>
        <w:t>发</w:t>
      </w:r>
      <w:r>
        <w:rPr>
          <w:rFonts w:eastAsia="黑体"/>
          <w:spacing w:val="20"/>
          <w:sz w:val="28"/>
          <w:szCs w:val="28"/>
        </w:rPr>
        <w:t xml:space="preserve"> </w:t>
      </w:r>
      <w:r>
        <w:rPr>
          <w:rFonts w:eastAsia="黑体"/>
          <w:spacing w:val="20"/>
          <w:sz w:val="28"/>
          <w:szCs w:val="28"/>
        </w:rPr>
        <w:t>布</w:t>
      </w:r>
    </w:p>
    <w:p w:rsidR="00CA6095" w:rsidRDefault="00E874A6" w:rsidP="009C7A86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前</w:t>
      </w:r>
      <w:r>
        <w:rPr>
          <w:rFonts w:eastAsia="黑体"/>
          <w:sz w:val="32"/>
          <w:szCs w:val="32"/>
        </w:rPr>
        <w:t xml:space="preserve">  </w:t>
      </w:r>
      <w:r>
        <w:rPr>
          <w:rFonts w:eastAsia="黑体"/>
          <w:sz w:val="32"/>
          <w:szCs w:val="32"/>
        </w:rPr>
        <w:t>言</w:t>
      </w:r>
    </w:p>
    <w:p w:rsidR="00CA6095" w:rsidRDefault="00CA6095" w:rsidP="009C7A86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A6095" w:rsidRDefault="00E874A6">
      <w:pPr>
        <w:pStyle w:val="1"/>
        <w:spacing w:line="400" w:lineRule="atLeast"/>
        <w:contextualSpacing/>
        <w:jc w:val="left"/>
      </w:pPr>
      <w:r>
        <w:t>本</w:t>
      </w:r>
      <w:r>
        <w:rPr>
          <w:rFonts w:hint="eastAsia"/>
        </w:rPr>
        <w:t>规程</w:t>
      </w:r>
      <w:r>
        <w:t>由中国绿色食品发展中心提出并归口。</w:t>
      </w:r>
    </w:p>
    <w:p w:rsidR="00CA6095" w:rsidRDefault="00E874A6">
      <w:pPr>
        <w:pStyle w:val="1"/>
        <w:spacing w:line="400" w:lineRule="atLeast"/>
        <w:contextualSpacing/>
        <w:jc w:val="left"/>
      </w:pPr>
      <w:r>
        <w:t>本</w:t>
      </w:r>
      <w:r>
        <w:rPr>
          <w:rFonts w:hint="eastAsia"/>
        </w:rPr>
        <w:t>规程</w:t>
      </w:r>
      <w:r>
        <w:t>起草单位：</w:t>
      </w:r>
      <w:r>
        <w:rPr>
          <w:rFonts w:hint="eastAsia"/>
        </w:rPr>
        <w:t>陕西省农产品质量安全中心、陕西省畜牧产业试验示范中心、</w:t>
      </w:r>
      <w:r>
        <w:rPr>
          <w:rFonts w:asciiTheme="minorEastAsia" w:hAnsiTheme="minorEastAsia" w:cstheme="minorEastAsia" w:hint="eastAsia"/>
          <w:color w:val="000000" w:themeColor="text1"/>
        </w:rPr>
        <w:t>陕西秦宝牧业股份有限公司、河北省农产品质量安全中心、</w:t>
      </w:r>
      <w:r>
        <w:rPr>
          <w:rFonts w:ascii="宋体" w:hAnsi="宋体" w:cs="宋体" w:hint="eastAsia"/>
        </w:rPr>
        <w:t>内蒙古自治区农畜产品质量安全监督管理中心</w:t>
      </w:r>
      <w:r>
        <w:rPr>
          <w:rFonts w:asciiTheme="minorEastAsia" w:hAnsiTheme="minorEastAsia" w:cstheme="minorEastAsia" w:hint="eastAsia"/>
          <w:color w:val="000000" w:themeColor="text1"/>
        </w:rPr>
        <w:t>。</w:t>
      </w:r>
    </w:p>
    <w:p w:rsidR="00CA6095" w:rsidRDefault="00E874A6">
      <w:pPr>
        <w:pStyle w:val="1"/>
        <w:spacing w:line="400" w:lineRule="atLeast"/>
        <w:contextualSpacing/>
        <w:jc w:val="left"/>
      </w:pPr>
      <w:r>
        <w:t>本</w:t>
      </w:r>
      <w:r>
        <w:rPr>
          <w:rFonts w:hint="eastAsia"/>
        </w:rPr>
        <w:t>规程</w:t>
      </w:r>
      <w:r>
        <w:t>主要起草人：</w:t>
      </w:r>
      <w:r>
        <w:rPr>
          <w:rFonts w:hint="eastAsia"/>
        </w:rPr>
        <w:t>王转丽、王珏、马国际、程助国、张眉、王璋、林静雅、程晓东、陈帅、曹晖、</w:t>
      </w:r>
      <w:r>
        <w:rPr>
          <w:rFonts w:asciiTheme="minorEastAsia" w:hAnsiTheme="minorEastAsia" w:cstheme="minorEastAsia" w:hint="eastAsia"/>
          <w:color w:val="000000" w:themeColor="text1"/>
        </w:rPr>
        <w:t>钟秀华、</w:t>
      </w:r>
      <w:r>
        <w:rPr>
          <w:rFonts w:ascii="宋体" w:hAnsi="宋体" w:cs="宋体" w:hint="eastAsia"/>
        </w:rPr>
        <w:t>郝贵宾</w:t>
      </w:r>
      <w:r>
        <w:rPr>
          <w:rFonts w:hint="eastAsia"/>
        </w:rPr>
        <w:t>。</w:t>
      </w:r>
    </w:p>
    <w:p w:rsidR="00CA6095" w:rsidRDefault="00CA6095" w:rsidP="009C7A86">
      <w:pPr>
        <w:pStyle w:val="1"/>
        <w:spacing w:beforeLines="50" w:afterLines="50" w:line="400" w:lineRule="atLeast"/>
        <w:contextualSpacing/>
        <w:jc w:val="left"/>
      </w:pPr>
    </w:p>
    <w:p w:rsidR="00CA6095" w:rsidRDefault="00CA6095" w:rsidP="009C7A86">
      <w:pPr>
        <w:pStyle w:val="1"/>
        <w:spacing w:beforeLines="50" w:afterLines="50" w:line="400" w:lineRule="atLeast"/>
        <w:contextualSpacing/>
        <w:jc w:val="left"/>
      </w:pPr>
    </w:p>
    <w:p w:rsidR="00CA6095" w:rsidRDefault="00CA6095" w:rsidP="009C7A86">
      <w:pPr>
        <w:pStyle w:val="1"/>
        <w:spacing w:beforeLines="50" w:afterLines="50" w:line="400" w:lineRule="atLeast"/>
        <w:ind w:firstLineChars="0" w:firstLine="0"/>
        <w:contextualSpacing/>
        <w:jc w:val="left"/>
        <w:rPr>
          <w:sz w:val="28"/>
          <w:szCs w:val="28"/>
        </w:rPr>
      </w:pPr>
    </w:p>
    <w:p w:rsidR="00CA6095" w:rsidRDefault="00CA6095" w:rsidP="009C7A86">
      <w:pPr>
        <w:pStyle w:val="1"/>
        <w:spacing w:beforeLines="50" w:afterLines="50" w:line="400" w:lineRule="atLeast"/>
        <w:ind w:left="357" w:firstLineChars="0" w:firstLine="0"/>
        <w:contextualSpacing/>
        <w:rPr>
          <w:rFonts w:eastAsiaTheme="minorEastAsia"/>
          <w:sz w:val="28"/>
          <w:szCs w:val="28"/>
        </w:rPr>
      </w:pPr>
    </w:p>
    <w:p w:rsidR="00CA6095" w:rsidRDefault="00CA6095" w:rsidP="009C7A86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CA6095" w:rsidRDefault="00CA6095" w:rsidP="009C7A86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CA6095" w:rsidRDefault="00CA6095" w:rsidP="009C7A86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CA6095" w:rsidRDefault="00CA6095" w:rsidP="009C7A86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CA6095" w:rsidRDefault="00CA6095" w:rsidP="009C7A86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CA6095" w:rsidRDefault="00CA6095" w:rsidP="009C7A86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CA6095" w:rsidRDefault="00CA6095" w:rsidP="009C7A86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CA6095" w:rsidRDefault="00CA6095" w:rsidP="009C7A86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CA6095" w:rsidRDefault="00CA6095" w:rsidP="009C7A86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CA6095" w:rsidRDefault="00CA6095" w:rsidP="009C7A86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CA6095" w:rsidRDefault="00E874A6">
      <w:pPr>
        <w:widowControl/>
        <w:jc w:val="left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A6095" w:rsidRDefault="00CA6095" w:rsidP="009C7A86">
      <w:pPr>
        <w:pStyle w:val="1"/>
        <w:spacing w:beforeLines="50" w:afterLines="50" w:line="400" w:lineRule="atLeast"/>
        <w:ind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CA6095" w:rsidRDefault="00E874A6" w:rsidP="009C7A86">
      <w:pPr>
        <w:pStyle w:val="1"/>
        <w:spacing w:beforeLines="50" w:afterLines="50" w:line="400" w:lineRule="atLeast"/>
        <w:ind w:firstLineChars="0" w:firstLine="0"/>
        <w:contextualSpacing/>
        <w:jc w:val="center"/>
        <w:rPr>
          <w:rFonts w:eastAsiaTheme="minorEastAsia"/>
          <w:sz w:val="28"/>
          <w:szCs w:val="28"/>
        </w:rPr>
      </w:pPr>
      <w:r>
        <w:rPr>
          <w:rFonts w:eastAsia="黑体" w:hint="eastAsia"/>
          <w:sz w:val="32"/>
          <w:szCs w:val="32"/>
        </w:rPr>
        <w:t>北方农牧交错带</w:t>
      </w:r>
      <w:r>
        <w:rPr>
          <w:rFonts w:eastAsia="黑体"/>
          <w:sz w:val="32"/>
          <w:szCs w:val="32"/>
        </w:rPr>
        <w:t>绿色食品肉牛养殖规程</w:t>
      </w:r>
    </w:p>
    <w:p w:rsidR="00CA6095" w:rsidRDefault="00E874A6" w:rsidP="009C7A86">
      <w:pPr>
        <w:spacing w:beforeLines="50" w:afterLines="50" w:line="400" w:lineRule="atLeast"/>
        <w:rPr>
          <w:rFonts w:ascii="Times New Roman" w:hAnsi="Times New Roman" w:cs="Times New Roman"/>
          <w:b/>
          <w:bCs/>
        </w:rPr>
      </w:pPr>
      <w:r>
        <w:rPr>
          <w:rFonts w:ascii="黑体" w:eastAsia="黑体" w:hAnsi="黑体" w:cs="黑体" w:hint="eastAsia"/>
        </w:rPr>
        <w:t>1 范围</w:t>
      </w:r>
    </w:p>
    <w:p w:rsidR="00CA6095" w:rsidRDefault="00E874A6">
      <w:pPr>
        <w:spacing w:line="400" w:lineRule="atLeas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本规程规定了</w:t>
      </w:r>
      <w:r>
        <w:rPr>
          <w:rFonts w:ascii="Times New Roman" w:hAnsi="Times New Roman" w:cs="Times New Roman" w:hint="eastAsia"/>
        </w:rPr>
        <w:t>北方农牧交错带</w:t>
      </w:r>
      <w:r>
        <w:rPr>
          <w:rFonts w:ascii="Times New Roman" w:hAnsi="Times New Roman" w:cs="Times New Roman"/>
        </w:rPr>
        <w:t>绿色食品肉牛养殖的产地环境、牛舍建设及配套设施、引种</w:t>
      </w:r>
      <w:r>
        <w:rPr>
          <w:rFonts w:ascii="Times New Roman" w:hAnsi="Times New Roman" w:cs="Times New Roman" w:hint="eastAsia"/>
        </w:rPr>
        <w:t>转运</w:t>
      </w:r>
      <w:r>
        <w:rPr>
          <w:rFonts w:ascii="Times New Roman" w:hAnsi="Times New Roman" w:cs="Times New Roman"/>
        </w:rPr>
        <w:t>、投入品使用、饲养管理、</w:t>
      </w:r>
      <w:r>
        <w:rPr>
          <w:rFonts w:ascii="Times New Roman" w:hAnsi="Times New Roman" w:cs="Times New Roman" w:hint="eastAsia"/>
        </w:rPr>
        <w:t>卫生防疫、</w:t>
      </w:r>
      <w:r>
        <w:rPr>
          <w:rFonts w:ascii="Times New Roman" w:hAnsi="Times New Roman" w:cs="Times New Roman"/>
        </w:rPr>
        <w:t>废弃物处理与利用、档案记录各个环节应遵循的准则。</w:t>
      </w:r>
    </w:p>
    <w:p w:rsidR="00CA6095" w:rsidRDefault="00E874A6">
      <w:pPr>
        <w:spacing w:line="400" w:lineRule="atLeas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本规程适用于河北、山西、</w:t>
      </w:r>
      <w:r>
        <w:rPr>
          <w:rFonts w:ascii="Times New Roman" w:hAnsi="Times New Roman" w:cs="Times New Roman" w:hint="eastAsia"/>
        </w:rPr>
        <w:t>内蒙古、</w:t>
      </w:r>
      <w:r>
        <w:rPr>
          <w:rFonts w:ascii="Times New Roman" w:hAnsi="Times New Roman" w:cs="Times New Roman"/>
        </w:rPr>
        <w:t>辽宁、陕西、甘肃、宁夏的绿色食品肉牛养殖。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2</w:t>
      </w:r>
      <w:r>
        <w:rPr>
          <w:rFonts w:ascii="黑体" w:eastAsia="黑体" w:hAnsi="黑体" w:cs="黑体" w:hint="eastAsia"/>
        </w:rPr>
        <w:t xml:space="preserve"> </w:t>
      </w:r>
      <w:r>
        <w:rPr>
          <w:rFonts w:ascii="黑体" w:eastAsia="黑体" w:hAnsi="黑体" w:cs="黑体"/>
        </w:rPr>
        <w:t>规范性引用文件</w:t>
      </w:r>
    </w:p>
    <w:p w:rsidR="00CA6095" w:rsidRDefault="00E874A6">
      <w:pPr>
        <w:spacing w:line="400" w:lineRule="atLeast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CA6095" w:rsidRDefault="00E874A6">
      <w:pPr>
        <w:spacing w:line="400" w:lineRule="atLeast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GB 4143   牛冷冻精液</w:t>
      </w:r>
    </w:p>
    <w:p w:rsidR="00CA6095" w:rsidRDefault="00E874A6">
      <w:pPr>
        <w:spacing w:line="400" w:lineRule="atLeast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GB 18596  畜禽养殖业污染物排放标准</w:t>
      </w:r>
    </w:p>
    <w:p w:rsidR="00CA6095" w:rsidRDefault="00E874A6">
      <w:pPr>
        <w:spacing w:line="400" w:lineRule="atLeast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NY/T 391  绿色食品 产地环境质量</w:t>
      </w:r>
    </w:p>
    <w:p w:rsidR="00CA6095" w:rsidRDefault="00E874A6">
      <w:pPr>
        <w:spacing w:line="400" w:lineRule="atLeast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NY/T 393  绿色食品 农药使用准则</w:t>
      </w:r>
    </w:p>
    <w:p w:rsidR="00CA6095" w:rsidRDefault="00E874A6">
      <w:pPr>
        <w:spacing w:line="400" w:lineRule="atLeast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NY/T 394  绿色食品 肥料使用准则</w:t>
      </w:r>
    </w:p>
    <w:p w:rsidR="00CA6095" w:rsidRDefault="00E874A6">
      <w:pPr>
        <w:spacing w:line="400" w:lineRule="atLeast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NY/T 471　绿色食品 饲料及饲料添加剂使用准则</w:t>
      </w:r>
    </w:p>
    <w:p w:rsidR="00CA6095" w:rsidRDefault="00E874A6">
      <w:pPr>
        <w:spacing w:line="400" w:lineRule="atLeast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NY/T 472　绿色食品 兽药使用准则</w:t>
      </w:r>
    </w:p>
    <w:p w:rsidR="00CA6095" w:rsidRDefault="00E874A6">
      <w:pPr>
        <w:spacing w:line="400" w:lineRule="atLeast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NY/T 473　绿色食品 畜禽卫生防疫准则</w:t>
      </w:r>
    </w:p>
    <w:p w:rsidR="00CA6095" w:rsidRDefault="00E874A6">
      <w:pPr>
        <w:spacing w:line="400" w:lineRule="atLeast"/>
        <w:ind w:firstLineChars="200" w:firstLine="420"/>
        <w:rPr>
          <w:rFonts w:asciiTheme="minorEastAsia" w:hAnsiTheme="minorEastAsia" w:cstheme="minorEastAsia"/>
        </w:rPr>
      </w:pPr>
      <w:bookmarkStart w:id="0" w:name="OLE_LINK2"/>
      <w:bookmarkStart w:id="1" w:name="OLE_LINK1"/>
      <w:r>
        <w:rPr>
          <w:rFonts w:asciiTheme="minorEastAsia" w:hAnsiTheme="minorEastAsia" w:cstheme="minorEastAsia" w:hint="eastAsia"/>
        </w:rPr>
        <w:t>NY/T 815</w:t>
      </w:r>
      <w:bookmarkEnd w:id="0"/>
      <w:bookmarkEnd w:id="1"/>
      <w:r>
        <w:rPr>
          <w:rFonts w:asciiTheme="minorEastAsia" w:hAnsiTheme="minorEastAsia" w:cstheme="minorEastAsia" w:hint="eastAsia"/>
        </w:rPr>
        <w:t xml:space="preserve">  肉牛饲养标准</w:t>
      </w:r>
    </w:p>
    <w:p w:rsidR="00CA6095" w:rsidRDefault="00E874A6">
      <w:pPr>
        <w:spacing w:line="400" w:lineRule="atLeast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NY/T 1335  牛人工授精技术规程</w:t>
      </w:r>
    </w:p>
    <w:p w:rsidR="00CA6095" w:rsidRDefault="00E874A6">
      <w:pPr>
        <w:spacing w:line="400" w:lineRule="atLeast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NY/T 1339  肉牛育肥良好管理规范</w:t>
      </w:r>
    </w:p>
    <w:p w:rsidR="00CA6095" w:rsidRDefault="00E874A6">
      <w:pPr>
        <w:spacing w:line="400" w:lineRule="atLeast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NY/T 1446  种公牛饲养管理技术规程</w:t>
      </w:r>
    </w:p>
    <w:p w:rsidR="00CA6095" w:rsidRDefault="00E874A6">
      <w:pPr>
        <w:spacing w:line="400" w:lineRule="atLeast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NY/T 2660  肉牛生产性能测定技术规范</w:t>
      </w:r>
    </w:p>
    <w:p w:rsidR="00CA6095" w:rsidRDefault="00E874A6">
      <w:pPr>
        <w:spacing w:line="400" w:lineRule="atLeast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中华人民共和国主席令第45号  中华人民共和国畜牧法</w:t>
      </w:r>
    </w:p>
    <w:p w:rsidR="00CA6095" w:rsidRDefault="00E874A6">
      <w:pPr>
        <w:spacing w:line="400" w:lineRule="atLeast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中华人民共和国主席令第71号  中华人民共和国动物防疫法</w:t>
      </w:r>
    </w:p>
    <w:p w:rsidR="00CA6095" w:rsidRDefault="00E874A6">
      <w:pPr>
        <w:spacing w:line="400" w:lineRule="atLeast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 xml:space="preserve">中华人民共和国国务院令[2011]第153号 种畜禽管理条例 </w:t>
      </w:r>
    </w:p>
    <w:p w:rsidR="00CA6095" w:rsidRDefault="00E874A6">
      <w:pPr>
        <w:spacing w:line="400" w:lineRule="atLeast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 xml:space="preserve">中华人民共和国农业部令[2010]第6号  动物检疫管理办法 </w:t>
      </w:r>
    </w:p>
    <w:p w:rsidR="00CA6095" w:rsidRDefault="00E874A6">
      <w:pPr>
        <w:spacing w:line="400" w:lineRule="atLeast"/>
        <w:ind w:firstLineChars="200" w:firstLine="420"/>
        <w:rPr>
          <w:rFonts w:ascii="Times New Roman" w:hAnsi="Times New Roman" w:cs="Times New Roman"/>
        </w:rPr>
      </w:pPr>
      <w:r>
        <w:rPr>
          <w:rFonts w:asciiTheme="minorEastAsia" w:hAnsiTheme="minorEastAsia" w:cstheme="minorEastAsia" w:hint="eastAsia"/>
        </w:rPr>
        <w:t>《病死及病害动物无害化处理技术规范》（农医发[2017]25号）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3 </w:t>
      </w:r>
      <w:r>
        <w:rPr>
          <w:rFonts w:ascii="黑体" w:eastAsia="黑体" w:hAnsi="黑体" w:cs="黑体"/>
        </w:rPr>
        <w:t>产地环境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3</w:t>
      </w:r>
      <w:r>
        <w:rPr>
          <w:rFonts w:ascii="黑体" w:eastAsia="黑体" w:hAnsi="黑体" w:cs="黑体"/>
        </w:rPr>
        <w:t>.1场址选择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3.1.1牛场建设必须符合《中华人民共和国畜牧法》《中华人民共和国动物防疫法》及区域</w:t>
      </w:r>
      <w:r>
        <w:rPr>
          <w:rFonts w:asciiTheme="minorEastAsia" w:hAnsiTheme="minorEastAsia" w:cstheme="minorEastAsia" w:hint="eastAsia"/>
        </w:rPr>
        <w:lastRenderedPageBreak/>
        <w:t>内土地使用和农业发展布局规划。选址建设前应进行环境影响评估，产地环境应符合NY/T391和NY/T473要求。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3.1.2应选择地势较高、向阳、背风、干燥地域。应选择水源充足、无污染和生态条件良好的地区，且应距离交通要道、城镇、居民区、医疗机构、公共场所、工矿企业2 km以上，距离垃圾处理场、垃圾填埋场、风景旅游区5 km以上。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3.1.3场区应选择在居民点的下风向或侧风向，远离化工厂、屠宰场、制革厂等容易造成环境污染企业及居民点污水排出口；远离畜禽疫病常发区及山谷、洼地等易受洪涝威胁的地段，以及水源保护区、环境污染区、检疫隔离场等。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3.2规划布局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/>
        </w:rPr>
        <w:t>.2.1牛场区规划布局应符合NY/T473要求</w:t>
      </w:r>
      <w:r>
        <w:rPr>
          <w:rFonts w:asciiTheme="minorEastAsia" w:hAnsiTheme="minorEastAsia" w:cstheme="minorEastAsia" w:hint="eastAsia"/>
        </w:rPr>
        <w:t>。</w:t>
      </w:r>
      <w:r>
        <w:rPr>
          <w:rFonts w:asciiTheme="minorEastAsia" w:hAnsiTheme="minorEastAsia" w:cstheme="minorEastAsia"/>
        </w:rPr>
        <w:t>面积能达到年出栏</w:t>
      </w:r>
      <w:r>
        <w:rPr>
          <w:rFonts w:asciiTheme="minorEastAsia" w:hAnsiTheme="minorEastAsia" w:cstheme="minorEastAsia" w:hint="eastAsia"/>
        </w:rPr>
        <w:t>500头</w:t>
      </w:r>
      <w:r>
        <w:rPr>
          <w:rFonts w:asciiTheme="minorEastAsia" w:hAnsiTheme="minorEastAsia" w:cstheme="minorEastAsia"/>
        </w:rPr>
        <w:t>以上</w:t>
      </w:r>
      <w:r>
        <w:rPr>
          <w:rFonts w:asciiTheme="minorEastAsia" w:hAnsiTheme="minorEastAsia" w:cstheme="minorEastAsia" w:hint="eastAsia"/>
        </w:rPr>
        <w:t>牛</w:t>
      </w:r>
      <w:r>
        <w:rPr>
          <w:rFonts w:asciiTheme="minorEastAsia" w:hAnsiTheme="minorEastAsia" w:cstheme="minorEastAsia"/>
        </w:rPr>
        <w:t>场的生产所需面积。场内</w:t>
      </w:r>
      <w:r>
        <w:rPr>
          <w:rFonts w:asciiTheme="minorEastAsia" w:hAnsiTheme="minorEastAsia" w:cstheme="minorEastAsia" w:hint="eastAsia"/>
        </w:rPr>
        <w:t>应</w:t>
      </w:r>
      <w:r>
        <w:rPr>
          <w:rFonts w:asciiTheme="minorEastAsia" w:hAnsiTheme="minorEastAsia" w:cstheme="minorEastAsia"/>
        </w:rPr>
        <w:t>分区设置生活管理区、生产区、无害化处理区，不同区域相对隔离，场区周围应设立防疫隔离带，场内应设有人员、物品、车辆消毒设施。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/>
        </w:rPr>
        <w:t>.2.</w:t>
      </w:r>
      <w:r>
        <w:rPr>
          <w:rFonts w:asciiTheme="minorEastAsia" w:hAnsiTheme="minorEastAsia" w:cstheme="minorEastAsia" w:hint="eastAsia"/>
        </w:rPr>
        <w:t>2</w:t>
      </w:r>
      <w:r>
        <w:rPr>
          <w:rFonts w:asciiTheme="minorEastAsia" w:hAnsiTheme="minorEastAsia" w:cstheme="minorEastAsia"/>
        </w:rPr>
        <w:t>生活管理区应设在地势较高的上风向</w:t>
      </w:r>
      <w:r>
        <w:rPr>
          <w:rFonts w:asciiTheme="minorEastAsia" w:hAnsiTheme="minorEastAsia" w:cstheme="minorEastAsia" w:hint="eastAsia"/>
        </w:rPr>
        <w:t>，</w:t>
      </w:r>
      <w:r>
        <w:rPr>
          <w:rFonts w:asciiTheme="minorEastAsia" w:hAnsiTheme="minorEastAsia" w:cstheme="minorEastAsia"/>
        </w:rPr>
        <w:t>入口要设置消毒池，消毒池长度不小于大型机动车车轮周长的一周半，宽度</w:t>
      </w:r>
      <w:r>
        <w:rPr>
          <w:rFonts w:ascii="宋体" w:eastAsia="宋体" w:hAnsi="宋体" w:cs="宋体"/>
          <w:szCs w:val="21"/>
        </w:rPr>
        <w:t>与大门宽度相等，深度能保证入场车辆所有车轮外延充分浸在消毒液中，同时建立消毒间，消毒间安装相关消毒设施。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3.2.3</w:t>
      </w:r>
      <w:r>
        <w:rPr>
          <w:rFonts w:asciiTheme="minorEastAsia" w:hAnsiTheme="minorEastAsia" w:cstheme="minorEastAsia"/>
        </w:rPr>
        <w:t>生产区应设在生活管理区常年主导风向的下风向，通常位于场区中央区域</w:t>
      </w:r>
      <w:r>
        <w:rPr>
          <w:rFonts w:asciiTheme="minorEastAsia" w:hAnsiTheme="minorEastAsia" w:cstheme="minorEastAsia" w:hint="eastAsia"/>
        </w:rPr>
        <w:t>；</w:t>
      </w:r>
      <w:r>
        <w:rPr>
          <w:rFonts w:asciiTheme="minorEastAsia" w:hAnsiTheme="minorEastAsia" w:cstheme="minorEastAsia"/>
        </w:rPr>
        <w:t>其中的草料贮存和加工区应位于牛舍临近上风向或侧风向一侧；生产区入口应设置消毒室、喷淋室和沐浴更衣间，各圈舍门口应设置消毒池。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/>
        </w:rPr>
        <w:t>.2.</w:t>
      </w:r>
      <w:r>
        <w:rPr>
          <w:rFonts w:asciiTheme="minorEastAsia" w:hAnsiTheme="minorEastAsia" w:cstheme="minorEastAsia" w:hint="eastAsia"/>
        </w:rPr>
        <w:t>4</w:t>
      </w:r>
      <w:r>
        <w:rPr>
          <w:rFonts w:asciiTheme="minorEastAsia" w:hAnsiTheme="minorEastAsia" w:cstheme="minorEastAsia"/>
        </w:rPr>
        <w:t>无害化处理区应距离生产区100</w:t>
      </w:r>
      <w:r>
        <w:rPr>
          <w:rFonts w:asciiTheme="minorEastAsia" w:hAnsiTheme="minorEastAsia" w:cstheme="minorEastAsia" w:hint="eastAsia"/>
        </w:rPr>
        <w:t>m</w:t>
      </w:r>
      <w:r>
        <w:rPr>
          <w:rFonts w:asciiTheme="minorEastAsia" w:hAnsiTheme="minorEastAsia" w:cstheme="minorEastAsia"/>
        </w:rPr>
        <w:t>以上，设在地势较低且在生产区、生活管理区的下风向或偏离风向区域</w:t>
      </w:r>
      <w:r>
        <w:rPr>
          <w:rFonts w:asciiTheme="minorEastAsia" w:hAnsiTheme="minorEastAsia" w:cstheme="minorEastAsia" w:hint="eastAsia"/>
        </w:rPr>
        <w:t>；</w:t>
      </w:r>
      <w:r>
        <w:rPr>
          <w:rFonts w:asciiTheme="minorEastAsia" w:hAnsiTheme="minorEastAsia" w:cstheme="minorEastAsia"/>
        </w:rPr>
        <w:t>应兼有粪污储存设施、粪污处理设施、病死牛无害化处理设施等，并有单独通道将粪污或其他处理物运出场区。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/>
        </w:rPr>
        <w:t>.2.</w:t>
      </w:r>
      <w:r>
        <w:rPr>
          <w:rFonts w:asciiTheme="minorEastAsia" w:hAnsiTheme="minorEastAsia" w:cstheme="minorEastAsia" w:hint="eastAsia"/>
        </w:rPr>
        <w:t>5</w:t>
      </w:r>
      <w:r>
        <w:rPr>
          <w:rFonts w:asciiTheme="minorEastAsia" w:hAnsiTheme="minorEastAsia" w:cstheme="minorEastAsia"/>
        </w:rPr>
        <w:t>场内净道和污道、雨水管道和污水管道应分开设置。人员、肉牛和物资运转采用不交叉的单一流向。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/>
        </w:rPr>
        <w:t>.2.</w:t>
      </w:r>
      <w:r>
        <w:rPr>
          <w:rFonts w:asciiTheme="minorEastAsia" w:hAnsiTheme="minorEastAsia" w:cstheme="minorEastAsia" w:hint="eastAsia"/>
        </w:rPr>
        <w:t>6</w:t>
      </w:r>
      <w:r>
        <w:rPr>
          <w:rFonts w:asciiTheme="minorEastAsia" w:hAnsiTheme="minorEastAsia" w:cstheme="minorEastAsia"/>
        </w:rPr>
        <w:t>应配置满足生产需要的兽医场所，并具备常规的化验检验条件。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</w:t>
      </w:r>
      <w:r>
        <w:rPr>
          <w:rFonts w:ascii="黑体" w:eastAsia="黑体" w:hAnsi="黑体" w:cs="黑体" w:hint="eastAsia"/>
          <w:b/>
          <w:bCs/>
        </w:rPr>
        <w:t xml:space="preserve"> </w:t>
      </w:r>
      <w:r>
        <w:rPr>
          <w:rFonts w:ascii="黑体" w:eastAsia="黑体" w:hAnsi="黑体" w:cs="黑体" w:hint="eastAsia"/>
        </w:rPr>
        <w:t>牛舍建设及配套设施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4.1建圈条件    </w:t>
      </w:r>
    </w:p>
    <w:p w:rsidR="00CA6095" w:rsidRDefault="00E874A6" w:rsidP="009C7A86">
      <w:pPr>
        <w:spacing w:beforeLines="50" w:afterLines="50" w:line="400" w:lineRule="atLeast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t>根据肉牛的生物学特性及中原地区气候条件，综合考虑保温、通风、采光、防雨雪以及生产操作等因素，建造肉牛棚圈，并配套设置活动场，适合牛只生长发育需要。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4.2材料要求</w:t>
      </w:r>
    </w:p>
    <w:p w:rsidR="00CA6095" w:rsidRDefault="00E874A6" w:rsidP="009C7A86">
      <w:pPr>
        <w:spacing w:beforeLines="50" w:afterLines="50" w:line="400" w:lineRule="atLeast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lastRenderedPageBreak/>
        <w:t>建筑材料和设备应选用高效低耗，便于清洗消毒、耐腐蚀的材料；地面、墙壁和屋顶应坚固、防水、防火、防风、防雪压，墙表面应光滑平整，不含有毒物质；圈舍、通道、地面、储存装置不应</w:t>
      </w:r>
      <w:r>
        <w:rPr>
          <w:rFonts w:asciiTheme="minorEastAsia" w:hAnsiTheme="minorEastAsia" w:cstheme="minorEastAsia" w:hint="eastAsia"/>
        </w:rPr>
        <w:t>有</w:t>
      </w:r>
      <w:r>
        <w:rPr>
          <w:rFonts w:asciiTheme="minorEastAsia" w:hAnsiTheme="minorEastAsia" w:cstheme="minorEastAsia"/>
        </w:rPr>
        <w:t>尖锐突出物，以免伤害牛只。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4.3配套设施</w:t>
      </w:r>
    </w:p>
    <w:p w:rsidR="00CA6095" w:rsidRDefault="00E874A6" w:rsidP="009C7A86">
      <w:pPr>
        <w:spacing w:beforeLines="50" w:afterLines="50" w:line="400" w:lineRule="atLeast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t>饮水设施应安装合理，坚固无渗漏，冷季饮水应防冻结或安装恒温饮水设施。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 引种转运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5.1牛只引进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5</w:t>
      </w:r>
      <w:r>
        <w:rPr>
          <w:rFonts w:asciiTheme="minorEastAsia" w:hAnsiTheme="minorEastAsia" w:cstheme="minorEastAsia"/>
        </w:rPr>
        <w:t>.1.1</w:t>
      </w:r>
      <w:r>
        <w:rPr>
          <w:rFonts w:asciiTheme="minorEastAsia" w:hAnsiTheme="minorEastAsia" w:cstheme="minorEastAsia" w:hint="eastAsia"/>
        </w:rPr>
        <w:t>种牛</w:t>
      </w:r>
      <w:r>
        <w:rPr>
          <w:rFonts w:asciiTheme="minorEastAsia" w:hAnsiTheme="minorEastAsia" w:cstheme="minorEastAsia"/>
        </w:rPr>
        <w:t>应从符合《种畜禽管理条例》的种牛场或来自非疫区的符合种用标准</w:t>
      </w:r>
      <w:r>
        <w:rPr>
          <w:rFonts w:asciiTheme="minorEastAsia" w:hAnsiTheme="minorEastAsia" w:cstheme="minorEastAsia" w:hint="eastAsia"/>
        </w:rPr>
        <w:t>，</w:t>
      </w:r>
      <w:r>
        <w:rPr>
          <w:rFonts w:asciiTheme="minorEastAsia" w:hAnsiTheme="minorEastAsia" w:cstheme="minorEastAsia"/>
        </w:rPr>
        <w:t>并经过防疫检疫的健康牛群中引进。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5</w:t>
      </w:r>
      <w:r>
        <w:rPr>
          <w:rFonts w:asciiTheme="minorEastAsia" w:hAnsiTheme="minorEastAsia" w:cstheme="minorEastAsia"/>
        </w:rPr>
        <w:t>.1.2牛离开饲养地和外运前，应按照《动物检疫管理办法》规定，经动物检疫部门实施产地检疫，并出具检疫证明和标识，合格者方可外运，并对</w:t>
      </w:r>
      <w:r>
        <w:rPr>
          <w:rFonts w:asciiTheme="minorEastAsia" w:hAnsiTheme="minorEastAsia" w:cstheme="minorEastAsia" w:hint="eastAsia"/>
        </w:rPr>
        <w:t>牛只</w:t>
      </w:r>
      <w:r>
        <w:rPr>
          <w:rFonts w:asciiTheme="minorEastAsia" w:hAnsiTheme="minorEastAsia" w:cstheme="minorEastAsia"/>
        </w:rPr>
        <w:t>进行编号。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5.2牛只转运</w:t>
      </w:r>
    </w:p>
    <w:p w:rsidR="00CA6095" w:rsidRDefault="00E874A6" w:rsidP="009C7A86">
      <w:pPr>
        <w:spacing w:beforeLines="50" w:afterLines="50" w:line="400" w:lineRule="atLeast"/>
        <w:rPr>
          <w:rFonts w:ascii="Times New Roman" w:hAnsi="Times New Roman" w:cs="Times New Roman"/>
        </w:rPr>
      </w:pPr>
      <w:r>
        <w:rPr>
          <w:rFonts w:asciiTheme="minorEastAsia" w:hAnsiTheme="minorEastAsia" w:cstheme="minorEastAsia" w:hint="eastAsia"/>
        </w:rPr>
        <w:t>5</w:t>
      </w:r>
      <w:r>
        <w:rPr>
          <w:rFonts w:asciiTheme="minorEastAsia" w:hAnsiTheme="minorEastAsia" w:cstheme="minorEastAsia"/>
        </w:rPr>
        <w:t>.2.1</w:t>
      </w:r>
      <w:r>
        <w:rPr>
          <w:rFonts w:ascii="Times New Roman" w:hAnsi="Times New Roman" w:cs="Times New Roman"/>
        </w:rPr>
        <w:t>应根据当地的自然地理、交通路程、季节等不同条件及牛群种类选择合适的运输方式。</w:t>
      </w:r>
    </w:p>
    <w:p w:rsidR="00CA6095" w:rsidRDefault="00E874A6">
      <w:pPr>
        <w:spacing w:line="400" w:lineRule="atLeast"/>
        <w:rPr>
          <w:rFonts w:ascii="Times New Roman" w:hAnsi="Times New Roman" w:cs="Times New Roman"/>
        </w:rPr>
      </w:pPr>
      <w:r>
        <w:rPr>
          <w:rFonts w:asciiTheme="minorEastAsia" w:hAnsiTheme="minorEastAsia" w:cstheme="minorEastAsia" w:hint="eastAsia"/>
        </w:rPr>
        <w:t>5.2.2</w:t>
      </w:r>
      <w:r>
        <w:rPr>
          <w:rFonts w:ascii="Times New Roman" w:hAnsi="Times New Roman" w:cs="Times New Roman"/>
        </w:rPr>
        <w:t>引购牛的</w:t>
      </w:r>
      <w:r>
        <w:rPr>
          <w:rFonts w:ascii="Times New Roman" w:hAnsi="Times New Roman" w:cs="Times New Roman" w:hint="eastAsia"/>
        </w:rPr>
        <w:t>养殖过程</w:t>
      </w:r>
      <w:r>
        <w:rPr>
          <w:rFonts w:ascii="Times New Roman" w:hAnsi="Times New Roman" w:cs="Times New Roman"/>
        </w:rPr>
        <w:t>应</w:t>
      </w:r>
      <w:r>
        <w:rPr>
          <w:rFonts w:ascii="Times New Roman" w:hAnsi="Times New Roman" w:cs="Times New Roman" w:hint="eastAsia"/>
        </w:rPr>
        <w:t>符合</w:t>
      </w:r>
      <w:r>
        <w:rPr>
          <w:rFonts w:asciiTheme="minorEastAsia" w:hAnsiTheme="minorEastAsia" w:cstheme="minorEastAsia" w:hint="eastAsia"/>
        </w:rPr>
        <w:t>NY/T 471、NY/T 472和NY/T 473要求，</w:t>
      </w:r>
      <w:r>
        <w:rPr>
          <w:rFonts w:ascii="宋体" w:hAnsi="宋体" w:cs="宋体" w:hint="eastAsia"/>
        </w:rPr>
        <w:t>不同来源的牛不能混群运输。</w:t>
      </w:r>
    </w:p>
    <w:p w:rsidR="00CA6095" w:rsidRDefault="00E874A6">
      <w:pPr>
        <w:spacing w:line="400" w:lineRule="atLeast"/>
        <w:rPr>
          <w:rFonts w:ascii="Times New Roman" w:hAnsi="Times New Roman" w:cs="Times New Roman"/>
        </w:rPr>
      </w:pPr>
      <w:r>
        <w:rPr>
          <w:rFonts w:asciiTheme="minorEastAsia" w:hAnsiTheme="minorEastAsia" w:cstheme="minorEastAsia" w:hint="eastAsia"/>
        </w:rPr>
        <w:t>5</w:t>
      </w:r>
      <w:r>
        <w:rPr>
          <w:rFonts w:asciiTheme="minorEastAsia" w:hAnsiTheme="minorEastAsia" w:cstheme="minorEastAsia"/>
        </w:rPr>
        <w:t>.2.</w:t>
      </w:r>
      <w:r>
        <w:rPr>
          <w:rFonts w:asciiTheme="minorEastAsia" w:hAnsiTheme="minorEastAsia" w:cstheme="minorEastAsia" w:hint="eastAsia"/>
        </w:rPr>
        <w:t>3</w:t>
      </w:r>
      <w:r>
        <w:rPr>
          <w:rFonts w:ascii="Times New Roman" w:hAnsi="Times New Roman" w:cs="Times New Roman"/>
        </w:rPr>
        <w:t>销售或转群前</w:t>
      </w:r>
      <w:r>
        <w:rPr>
          <w:rFonts w:ascii="Times New Roman" w:hAnsi="Times New Roman" w:cs="Times New Roman" w:hint="eastAsia"/>
        </w:rPr>
        <w:t>禁饲</w:t>
      </w:r>
      <w:r>
        <w:rPr>
          <w:rFonts w:ascii="Times New Roman" w:hAnsi="Times New Roman" w:cs="Times New Roman" w:hint="eastAsia"/>
        </w:rPr>
        <w:t>12h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运输时要加装防护栏，厢内不能有钉子等尖锐物品，同时要采取防滑措施。</w:t>
      </w:r>
    </w:p>
    <w:p w:rsidR="00CA6095" w:rsidRDefault="00E874A6" w:rsidP="009C7A86">
      <w:pPr>
        <w:spacing w:beforeLines="50" w:afterLines="50" w:line="400" w:lineRule="atLeast"/>
        <w:rPr>
          <w:rFonts w:ascii="Times New Roman" w:hAnsi="Times New Roman" w:cs="Times New Roman"/>
        </w:rPr>
      </w:pPr>
      <w:r>
        <w:rPr>
          <w:rFonts w:asciiTheme="minorEastAsia" w:hAnsiTheme="minorEastAsia" w:cstheme="minorEastAsia" w:hint="eastAsia"/>
        </w:rPr>
        <w:t>5</w:t>
      </w:r>
      <w:r>
        <w:rPr>
          <w:rFonts w:asciiTheme="minorEastAsia" w:hAnsiTheme="minorEastAsia" w:cstheme="minorEastAsia"/>
        </w:rPr>
        <w:t>.2.</w:t>
      </w:r>
      <w:r>
        <w:rPr>
          <w:rFonts w:asciiTheme="minorEastAsia" w:hAnsiTheme="minorEastAsia" w:cstheme="minorEastAsia" w:hint="eastAsia"/>
        </w:rPr>
        <w:t>4</w:t>
      </w:r>
      <w:r>
        <w:rPr>
          <w:rFonts w:ascii="Times New Roman" w:hAnsi="Times New Roman" w:cs="Times New Roman"/>
        </w:rPr>
        <w:t>运输途中应备足所需的药品、器具，并携带好检疫证明和有关单据，运输过程车速平稳，防止剧烈颠簸及急刹车等。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5.3隔离观察</w:t>
      </w:r>
    </w:p>
    <w:p w:rsidR="00CA6095" w:rsidRDefault="00E874A6" w:rsidP="009C7A86">
      <w:pPr>
        <w:spacing w:beforeLines="50" w:afterLines="50" w:line="400" w:lineRule="atLeas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引购的牛应在隔离舍（区）内隔离观察饲养</w:t>
      </w:r>
      <w:r>
        <w:rPr>
          <w:rFonts w:ascii="Times New Roman" w:hAnsi="Times New Roman" w:cs="Times New Roman"/>
        </w:rPr>
        <w:t>15d</w:t>
      </w:r>
      <w:r>
        <w:rPr>
          <w:rFonts w:ascii="Times New Roman" w:hAnsi="Times New Roman" w:cs="Times New Roman"/>
        </w:rPr>
        <w:t>以上，</w:t>
      </w:r>
      <w:r>
        <w:rPr>
          <w:rFonts w:ascii="Times New Roman" w:hAnsi="Times New Roman" w:cs="Times New Roman" w:hint="eastAsia"/>
        </w:rPr>
        <w:t>应进行免疫处理，</w:t>
      </w:r>
      <w:r>
        <w:rPr>
          <w:rFonts w:ascii="Times New Roman" w:hAnsi="Times New Roman" w:cs="Times New Roman"/>
        </w:rPr>
        <w:t>经兽医检查确定为健康合格后，方可转入生产群。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 投入品使用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6.1饲草饲料及饲料添加剂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  <w:color w:val="FF0000"/>
        </w:rPr>
      </w:pPr>
      <w:r>
        <w:rPr>
          <w:rFonts w:asciiTheme="minorEastAsia" w:hAnsiTheme="minorEastAsia" w:cstheme="minorEastAsia" w:hint="eastAsia"/>
        </w:rPr>
        <w:t>6.1.1饲草饲料及添加剂的选择和使用应符合NY/T471要求。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6.1.2饲草饲料应来源于绿色食品生产基地，产地环境应符合NY/T391要求，生产过程中施用农药、肥料应分别符合NY/T393和NY/T394要求。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6.1.3使用自制配合饲料时，应保留饲料配方，</w:t>
      </w:r>
      <w:r>
        <w:rPr>
          <w:rFonts w:asciiTheme="minorEastAsia" w:hAnsiTheme="minorEastAsia" w:cstheme="minorEastAsia" w:hint="eastAsia"/>
          <w:color w:val="000000" w:themeColor="text1"/>
        </w:rPr>
        <w:t>推荐饲料使用见附录A。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lastRenderedPageBreak/>
        <w:t>6.1.4不同种类饲草饲料应分类存放、清晰标识，防止饲草饲料变质和交叉污染。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6.1.5应建立用草用料记录和饲草饲料留样记录，使用的饲草饲料及饲料添加剂样品至少保留3个月，对饲草、饲料原料及饲料添加剂的采购来源、质量、标签情况等进行记录，确保可追溯。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</w:t>
      </w:r>
      <w:r>
        <w:rPr>
          <w:rFonts w:ascii="黑体" w:eastAsia="黑体" w:hAnsi="黑体" w:cs="黑体"/>
        </w:rPr>
        <w:t>.</w:t>
      </w:r>
      <w:r>
        <w:rPr>
          <w:rFonts w:ascii="黑体" w:eastAsia="黑体" w:hAnsi="黑体" w:cs="黑体" w:hint="eastAsia"/>
        </w:rPr>
        <w:t>2</w:t>
      </w:r>
      <w:r>
        <w:rPr>
          <w:rFonts w:ascii="黑体" w:eastAsia="黑体" w:hAnsi="黑体" w:cs="黑体"/>
        </w:rPr>
        <w:t>兽药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6.2.1兽药使用应符合NY/T472要求，参照</w:t>
      </w:r>
      <w:r>
        <w:rPr>
          <w:rFonts w:asciiTheme="minorEastAsia" w:hAnsiTheme="minorEastAsia" w:cstheme="minorEastAsia" w:hint="eastAsia"/>
          <w:color w:val="000000" w:themeColor="text1"/>
        </w:rPr>
        <w:t>附录表B.1。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6.2.3</w:t>
      </w:r>
      <w:bookmarkStart w:id="2" w:name="_GoBack"/>
      <w:bookmarkEnd w:id="2"/>
      <w:r>
        <w:rPr>
          <w:rFonts w:asciiTheme="minorEastAsia" w:hAnsiTheme="minorEastAsia" w:cstheme="minorEastAsia" w:hint="eastAsia"/>
        </w:rPr>
        <w:t>使用时应按照产品说明操作，处方药应按照兽医出具的处方执行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6.2.3建立采购记录和用药记录。采购记录应包括产品名称、购买日期、数量、批号、有效期、供应商和生产厂家等信息。用药记录应包括用药牛只的批次与数量、兽药产品批号、用药量、用药开始时间和结束日期、休药期、药品管理者和使用者等信息，同时应保留使用说明书。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6.2.4应按照药品说明书要求进行储藏，过期药物应及时销毁处理。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</w:t>
      </w:r>
      <w:r>
        <w:rPr>
          <w:rFonts w:ascii="黑体" w:eastAsia="黑体" w:hAnsi="黑体" w:cs="黑体"/>
        </w:rPr>
        <w:t>.</w:t>
      </w:r>
      <w:r>
        <w:rPr>
          <w:rFonts w:ascii="黑体" w:eastAsia="黑体" w:hAnsi="黑体" w:cs="黑体" w:hint="eastAsia"/>
        </w:rPr>
        <w:t>3</w:t>
      </w:r>
      <w:r>
        <w:rPr>
          <w:rFonts w:ascii="黑体" w:eastAsia="黑体" w:hAnsi="黑体" w:cs="黑体"/>
        </w:rPr>
        <w:t>饮用水</w:t>
      </w:r>
    </w:p>
    <w:p w:rsidR="00CA6095" w:rsidRDefault="00E874A6" w:rsidP="009C7A86">
      <w:pPr>
        <w:spacing w:beforeLines="50" w:afterLines="50" w:line="4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>
        <w:rPr>
          <w:rFonts w:asciiTheme="minorEastAsia" w:hAnsiTheme="minorEastAsia" w:cstheme="minorEastAsia" w:hint="eastAsia"/>
        </w:rPr>
        <w:t>应保障牛只充足的饮水，水温适中、清洁卫生，水质符合NY/T391要求。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 饲养管理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7.1放牧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7.1.1放牧场。放牧场应进行科学规划，划区轮牧。牧场符合NY/T393要求，同时防止因使用除草剂、杀虫剂、灭鼠剂等药剂引起牛只中毒。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 xml:space="preserve">7.1.2冬春季放牧管理。冬春季放牧要充分利用中午暖和时间放牧和饮水，上午在阳坡山腰地段放牧，下午在阴坡地段放牧，日落后收牧。晴天放较远的山坡；风雪天近牧，放避风的洼地或山湾。放牧牛群朝顺风方向行进。 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7.1.3夏秋季放牧管理。夏秋季放牧要早出牧、晚归牧，延长放牧时间，让肉牛多采食。天气炎热时，中午让肉牛在凉爽的地方反刍和卧息。出牧后由低逐渐向通风凉爽的高山放牧。夏秋放牧要及时更换牧场和搬迁，每隔15d～20d轮牧一次。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7.2舍饲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7.2.1圈舍环境。肉牛采用圈舍饲养时，根据当地气候条件，综合考虑饲养密度、通风设施、采光等条件，可分别采用开放式牛舍、半开放式牛舍和封闭式牛舍，舍内分布可采用单列式、双列式或多列式，圈舍应通风除湿、温度适中，日常保持环境清洁卫生、驱蚊灭俾。同一饲养场所不应饲养不同种类的畜禽。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lastRenderedPageBreak/>
        <w:t>7.2.2饲养管理。根据不同生长发育阶段，参照NY/T815要求，合理搭配日粮，有条件的可采用全混合日粮（TMR）饲喂技术，做到原料组成宜多样化，营养全面，各营养素间平衡。同时保证充足饮水和合理运动，满足其生长发育需要。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7.3不同生长发育阶段肉牛的饲养管理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7.3.1犊牛。肉牛犊出生后，加强护理，</w:t>
      </w:r>
      <w:r>
        <w:rPr>
          <w:rFonts w:ascii="Times New Roman" w:hAnsi="Times New Roman" w:cs="Times New Roman" w:hint="eastAsia"/>
        </w:rPr>
        <w:t>充分通风，保障空气质量良好，避免呼吸道疾病发生，</w:t>
      </w:r>
      <w:r>
        <w:rPr>
          <w:rFonts w:asciiTheme="minorEastAsia" w:hAnsiTheme="minorEastAsia" w:cstheme="minorEastAsia" w:hint="eastAsia"/>
        </w:rPr>
        <w:t>做好防寒保暖，尽早吃足初乳。犊牛15日龄后，逐步补饲优质干草和颗粒精料，训练犊牛自由采食。当哺乳喂养至犊牛4～6月龄，能大量采食草料时，可与母牛彻底分开，实施断奶，并分群饲养。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 xml:space="preserve">7.3.2育成牛。成牛应按性别单独组群，防止早配；夏季安排较好的草场放牧，放牧时控制牛群，距离不应太远；在冬春季，除放牧外，还应按照NY/T 815补饲精料，饲养管理符合NY/T1339。 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7.3.3种公牛。应符合NY/T1446要求，保证各种营养物质的均衡供给，日粮应是全价营养，多样配合，适口性好，容易消化，精、青、粗搭配适当，蛋白质生物价值高，矿物质和微量元素必须按量供应，但同时应防止营养过剩，并坚持运动。公牛应和母肉牛分群放牧。在自然交配情况下，公、母比例为1:20～30。在人工授精情况下，牛冷冻精液应符合GB4143，人工授精操作应符合NY/T1335。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7.3.4成年母牛。参配母肉牛在发情前一个月内完成组群，注意观察发情变化，及时配种。妊娠母牛要避免在冰滩地放牧，注意避免剧烈运动、拥挤及其它易造成流产的事件发生，不宜在早晨及空腹时饮水。在妊娠前5个月可和空怀母牛一样饲喂，怀孕最后2～3个月每头牛每天应补饲精料1kg～2kg，满足胎儿生长发育所需营养，但也要避免饲喂过度，引发母牛难产。</w:t>
      </w:r>
    </w:p>
    <w:p w:rsidR="00CA6095" w:rsidRDefault="00E874A6" w:rsidP="009C7A86">
      <w:pPr>
        <w:pStyle w:val="1"/>
        <w:spacing w:beforeLines="50" w:afterLines="50" w:line="400" w:lineRule="atLeast"/>
        <w:ind w:firstLineChars="0" w:firstLine="0"/>
        <w:contextualSpacing/>
        <w:rPr>
          <w:rFonts w:asciiTheme="minorEastAsia" w:eastAsiaTheme="minorEastAsia" w:hAnsiTheme="minorEastAsia" w:cstheme="minorEastAsia"/>
          <w:szCs w:val="22"/>
        </w:rPr>
      </w:pPr>
      <w:r>
        <w:rPr>
          <w:rFonts w:asciiTheme="minorEastAsia" w:eastAsiaTheme="minorEastAsia" w:hAnsiTheme="minorEastAsia" w:cstheme="minorEastAsia" w:hint="eastAsia"/>
          <w:szCs w:val="22"/>
        </w:rPr>
        <w:t>7.3.5育肥牛。肉牛育肥根据生产经营条件，分别采取持续育肥、直线育肥或架子牛快速育肥模式，符合NY/T1339要求。</w:t>
      </w:r>
    </w:p>
    <w:p w:rsidR="00CA6095" w:rsidRDefault="00E874A6" w:rsidP="009C7A86">
      <w:pPr>
        <w:pStyle w:val="1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ascii="黑体" w:eastAsia="黑体" w:hAnsi="黑体" w:cs="黑体" w:hint="eastAsia"/>
        </w:rPr>
        <w:t>7.4饲养人员管理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7.4.1饲养人员定期进行健康检查，并依法取得健康证明后方可上岗工作。传染病患者不得从事饲养和管理工作。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7.4.2具有相关管理和饲养经验，具备专业知识，熟悉绿色食品生产要求。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7.4.3场内兽医人员不应对外出诊，配种人员不应对外开展牛的配种。场内工作人员不应携带非本场的动物食品进入饲养区。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7.5牛群观察</w:t>
      </w:r>
    </w:p>
    <w:p w:rsidR="00CA6095" w:rsidRDefault="00E874A6" w:rsidP="009C7A86">
      <w:pPr>
        <w:spacing w:beforeLines="50" w:afterLines="50" w:line="400" w:lineRule="atLeas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日常应仔细观察牛只的采食、饮水、粪便和行为表现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一旦发现异常，应及时处理。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8 卫生防疫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8.1消毒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8.1.1应制定消毒制度，定期检测消毒效果，符合NY/T473的规定。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8.1.2选用消毒剂应符合NY/T472的规定，按照说明书使用，不同类型的消毒剂交替使用。</w:t>
      </w:r>
    </w:p>
    <w:p w:rsidR="00CA6095" w:rsidRDefault="00E874A6" w:rsidP="009C7A86">
      <w:pPr>
        <w:spacing w:beforeLines="50" w:afterLines="50" w:line="400" w:lineRule="atLeast"/>
        <w:rPr>
          <w:rFonts w:ascii="Times New Roman" w:hAnsi="Times New Roman" w:cs="Times New Roman"/>
        </w:rPr>
      </w:pPr>
      <w:r>
        <w:rPr>
          <w:rFonts w:asciiTheme="minorEastAsia" w:hAnsiTheme="minorEastAsia" w:cstheme="minorEastAsia" w:hint="eastAsia"/>
        </w:rPr>
        <w:t>8.1.3牛舍在牛群转入前应彻底清洗、消毒，至少空置1个月。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8.2免疫接种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  <w:color w:val="000000" w:themeColor="text1"/>
        </w:rPr>
      </w:pPr>
      <w:r>
        <w:rPr>
          <w:rFonts w:asciiTheme="minorEastAsia" w:hAnsiTheme="minorEastAsia" w:cstheme="minorEastAsia" w:hint="eastAsia"/>
        </w:rPr>
        <w:t xml:space="preserve">8.2.1执行NY/T472规定，根据当地疫病流行情况和牛群免疫抗体检测结果, </w:t>
      </w:r>
      <w:r>
        <w:rPr>
          <w:rFonts w:asciiTheme="minorEastAsia" w:hAnsiTheme="minorEastAsia" w:cstheme="minorEastAsia" w:hint="eastAsia"/>
          <w:color w:val="000000" w:themeColor="text1"/>
        </w:rPr>
        <w:t>参照附录表B.2制定免疫接种计划并严格实施。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8.2.2超过免疫保护期或免疫效果不佳的牛只应及时补充免疫。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8.2.3建立免疫档案，记录免疫的疫苗种类、厂家、有效期、产品批号、接种日期、接种量等信息，存档备查。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8.2.4 疫苗保管应符合疫苗保存条件。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8.3疫病监测</w:t>
      </w:r>
    </w:p>
    <w:p w:rsidR="00CA6095" w:rsidRDefault="00E874A6" w:rsidP="009C7A86">
      <w:pPr>
        <w:spacing w:beforeLines="50" w:afterLines="50" w:line="400" w:lineRule="atLeas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8.3.1定期对口蹄疫、结核、布鲁氏杆菌病等重大疫病进行检疫监测，牛只不应患</w:t>
      </w:r>
      <w:r>
        <w:rPr>
          <w:rFonts w:asciiTheme="minorEastAsia" w:hAnsiTheme="minorEastAsia" w:cstheme="minorEastAsia" w:hint="eastAsia"/>
          <w:color w:val="000000" w:themeColor="text1"/>
        </w:rPr>
        <w:t>有附录C</w:t>
      </w:r>
      <w:r>
        <w:rPr>
          <w:rFonts w:asciiTheme="minorEastAsia" w:hAnsiTheme="minorEastAsia" w:cstheme="minorEastAsia" w:hint="eastAsia"/>
        </w:rPr>
        <w:t>所列的各种疾病。</w:t>
      </w:r>
    </w:p>
    <w:p w:rsidR="00CA6095" w:rsidRDefault="00E874A6" w:rsidP="009C7A86">
      <w:pPr>
        <w:spacing w:beforeLines="50" w:afterLines="50" w:line="400" w:lineRule="atLeast"/>
        <w:rPr>
          <w:rFonts w:ascii="Times New Roman" w:hAnsi="Times New Roman" w:cs="Times New Roman"/>
        </w:rPr>
      </w:pPr>
      <w:r>
        <w:rPr>
          <w:rFonts w:asciiTheme="minorEastAsia" w:hAnsiTheme="minorEastAsia" w:cstheme="minorEastAsia" w:hint="eastAsia"/>
        </w:rPr>
        <w:t>8.3.2定期对环境、管理制度进行安全评估，及时调整饲养管理制度和免疫预防措施。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8.4重大疫病应急措施</w:t>
      </w:r>
    </w:p>
    <w:p w:rsidR="00CA6095" w:rsidRDefault="00E874A6" w:rsidP="009C7A86">
      <w:pPr>
        <w:spacing w:beforeLines="50" w:afterLines="50" w:line="400" w:lineRule="atLeas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制定重大疫病应急预案，如发现重大疫病倾向，迅速封锁场区，对感染牛只及疑似感染牛只立即进行隔离，并按规定及时向当地畜牧兽医行政管理部门报告。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9 废弃物处理与利用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9.1处理原则</w:t>
      </w:r>
    </w:p>
    <w:p w:rsidR="00CA6095" w:rsidRDefault="00E874A6">
      <w:pPr>
        <w:spacing w:line="400" w:lineRule="atLeast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养殖废弃物处理应遵循减量化、无害化、资源化的原则，按照GB18596规定，设置废弃物处理设施，采用堆积发酵、制取沼气、制造有机肥等方法，对废弃物进行无害化处理和综合利用。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9.2过期药品处理</w:t>
      </w:r>
    </w:p>
    <w:p w:rsidR="00CA6095" w:rsidRDefault="00E874A6" w:rsidP="009C7A86">
      <w:pPr>
        <w:spacing w:beforeLines="50" w:afterLines="50" w:line="400" w:lineRule="atLeas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剩余的疫苗和过期的药品及其包装不得随意丢弃，进行无害化处理。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lastRenderedPageBreak/>
        <w:t>9.3病死牛只处理</w:t>
      </w:r>
    </w:p>
    <w:p w:rsidR="00CA6095" w:rsidRDefault="00E874A6" w:rsidP="009C7A86">
      <w:pPr>
        <w:spacing w:beforeLines="50" w:afterLines="50" w:line="400" w:lineRule="atLeast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对非正常死亡的牛只应由专门的兽医进行死亡原因鉴定,病死牛应按《病死及病害动物无害化处理技术规程》要求，进行无害化处理。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10 档案记录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10.1牛只档案</w:t>
      </w:r>
    </w:p>
    <w:p w:rsidR="00CA6095" w:rsidRDefault="00E874A6" w:rsidP="009C7A86">
      <w:pPr>
        <w:spacing w:beforeLines="50" w:afterLines="50" w:line="400" w:lineRule="atLeast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应及时记录购牛或犊牛出生日期、产地、品种、年龄、胎次、体尺体重、照片等，建立牛只档案。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10.2生产记录</w:t>
      </w:r>
    </w:p>
    <w:p w:rsidR="00CA6095" w:rsidRDefault="00E874A6">
      <w:pPr>
        <w:spacing w:line="400" w:lineRule="atLeast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包括母牛发情、配种、妊娠、流产、产犊、哺乳和产后护理；饲料来源及配方、各种添加剂使用情况、喂料量；牛只的生长发育性状（体重、体尺、肉质等），生产性能测定按照NY/T2660执行。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10.3管理记录</w:t>
      </w:r>
    </w:p>
    <w:p w:rsidR="00CA6095" w:rsidRDefault="00E874A6">
      <w:pPr>
        <w:spacing w:line="400" w:lineRule="atLeast"/>
        <w:ind w:firstLineChars="200" w:firstLine="420"/>
        <w:rPr>
          <w:rFonts w:ascii="Times New Roman" w:hAnsi="Times New Roman" w:cs="Times New Roman"/>
        </w:rPr>
      </w:pPr>
      <w:r>
        <w:rPr>
          <w:rFonts w:asciiTheme="minorEastAsia" w:hAnsiTheme="minorEastAsia" w:cstheme="minorEastAsia" w:hint="eastAsia"/>
        </w:rPr>
        <w:t>包括牛场的管理制度、卫生防疫制度；牛场的环境温度、湿度、光照度、二氧化碳、氨气、废弃物处理及利用等记录；牛群健康状况、消毒记录、免疫记录、用药记录、发病及治疗情况；投入品的购入、消耗及库存情况；牛只的调入/出生、断奶、分群等存栏情况；牛只的调出、淘汰、死亡以及销售等出栏情况；牛场的生产资料成本、销售收入、牛只销售去向等，并定期核算牛场经营考核指标。</w:t>
      </w:r>
    </w:p>
    <w:p w:rsidR="00CA6095" w:rsidRDefault="00E874A6" w:rsidP="009C7A86">
      <w:pPr>
        <w:spacing w:beforeLines="50" w:afterLines="50" w:line="40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10.4档案保存</w:t>
      </w:r>
    </w:p>
    <w:p w:rsidR="00CA6095" w:rsidRDefault="00E874A6" w:rsidP="009C7A86">
      <w:pPr>
        <w:spacing w:beforeLines="50" w:afterLines="50" w:line="400" w:lineRule="atLeast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建立牛场生产经营全过程的记录档案，并妥善保存，档案资料保存3年以上。</w:t>
      </w:r>
    </w:p>
    <w:p w:rsidR="00CA6095" w:rsidRDefault="00E874A6" w:rsidP="009C7A86">
      <w:pPr>
        <w:widowControl/>
        <w:spacing w:beforeLines="50" w:afterLines="50" w:line="4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  <w:szCs w:val="21"/>
        </w:rPr>
        <w:t xml:space="preserve">  </w:t>
      </w:r>
      <w:r>
        <w:rPr>
          <w:rFonts w:ascii="Times New Roman" w:hAnsi="Times New Roman" w:cs="Times New Roman"/>
        </w:rPr>
        <w:br w:type="page"/>
      </w:r>
    </w:p>
    <w:p w:rsidR="00CA6095" w:rsidRDefault="00E874A6">
      <w:pPr>
        <w:spacing w:line="400" w:lineRule="atLeast"/>
        <w:contextualSpacing/>
        <w:jc w:val="center"/>
        <w:rPr>
          <w:rFonts w:ascii="黑体" w:eastAsia="黑体" w:hAnsi="黑体"/>
          <w:kern w:val="0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lastRenderedPageBreak/>
        <w:t>附 录 A</w:t>
      </w:r>
    </w:p>
    <w:p w:rsidR="00CA6095" w:rsidRDefault="00E874A6">
      <w:pPr>
        <w:spacing w:line="400" w:lineRule="atLeast"/>
        <w:contextualSpacing/>
        <w:jc w:val="center"/>
        <w:rPr>
          <w:rFonts w:ascii="黑体" w:eastAsia="黑体" w:hAnsi="黑体" w:cs="黑体"/>
          <w:kern w:val="0"/>
          <w:sz w:val="24"/>
          <w:szCs w:val="24"/>
        </w:rPr>
      </w:pPr>
      <w:r>
        <w:rPr>
          <w:rFonts w:ascii="黑体" w:eastAsia="黑体" w:hAnsi="黑体" w:hint="eastAsia"/>
          <w:kern w:val="0"/>
          <w:sz w:val="24"/>
          <w:szCs w:val="24"/>
        </w:rPr>
        <w:t>北方农牧交错带</w:t>
      </w:r>
      <w:r w:rsidR="00872152">
        <w:rPr>
          <w:rFonts w:ascii="黑体" w:eastAsia="黑体" w:hAnsi="黑体" w:hint="eastAsia"/>
          <w:kern w:val="0"/>
          <w:sz w:val="24"/>
          <w:szCs w:val="24"/>
        </w:rPr>
        <w:t xml:space="preserve">  </w:t>
      </w:r>
      <w:r>
        <w:rPr>
          <w:rFonts w:ascii="黑体" w:eastAsia="黑体" w:hAnsi="黑体" w:hint="eastAsia"/>
          <w:kern w:val="0"/>
          <w:sz w:val="24"/>
          <w:szCs w:val="24"/>
        </w:rPr>
        <w:t>绿色食品肉牛养殖推荐饲料方案</w:t>
      </w:r>
    </w:p>
    <w:p w:rsidR="00CA6095" w:rsidRDefault="00E874A6">
      <w:pPr>
        <w:spacing w:line="400" w:lineRule="atLeast"/>
        <w:contextualSpacing/>
        <w:jc w:val="center"/>
        <w:rPr>
          <w:rFonts w:ascii="黑体" w:eastAsia="黑体" w:hAnsi="黑体" w:cs="黑体"/>
          <w:kern w:val="0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t>（资料性附录）</w:t>
      </w:r>
    </w:p>
    <w:p w:rsidR="00CA6095" w:rsidRDefault="00E874A6" w:rsidP="009C7A86">
      <w:pPr>
        <w:pStyle w:val="1"/>
        <w:spacing w:beforeLines="50" w:afterLines="50" w:line="400" w:lineRule="atLeast"/>
        <w:contextualSpacing/>
        <w:jc w:val="center"/>
        <w:rPr>
          <w:rFonts w:ascii="黑体" w:eastAsia="黑体" w:hAnsi="黑体"/>
          <w:kern w:val="0"/>
        </w:rPr>
      </w:pPr>
      <w:r>
        <w:rPr>
          <w:rFonts w:ascii="黑体" w:eastAsia="黑体" w:hAnsi="黑体" w:hint="eastAsia"/>
          <w:kern w:val="0"/>
        </w:rPr>
        <w:t>表</w:t>
      </w:r>
      <w:r>
        <w:rPr>
          <w:rFonts w:ascii="黑体" w:eastAsia="黑体" w:hAnsi="黑体"/>
          <w:kern w:val="0"/>
        </w:rPr>
        <w:t>A</w:t>
      </w:r>
      <w:r>
        <w:rPr>
          <w:rFonts w:ascii="黑体" w:eastAsia="黑体" w:hAnsi="黑体" w:hint="eastAsia"/>
          <w:kern w:val="0"/>
        </w:rPr>
        <w:t>.</w:t>
      </w:r>
      <w:r>
        <w:rPr>
          <w:rFonts w:ascii="黑体" w:eastAsia="黑体" w:hAnsi="黑体"/>
          <w:kern w:val="0"/>
        </w:rPr>
        <w:t>1</w:t>
      </w:r>
      <w:r>
        <w:rPr>
          <w:rFonts w:ascii="黑体" w:eastAsia="黑体" w:hAnsi="黑体" w:hint="eastAsia"/>
        </w:rPr>
        <w:t>肉牛</w:t>
      </w:r>
      <w:r>
        <w:rPr>
          <w:rFonts w:ascii="黑体" w:eastAsia="黑体" w:hAnsi="黑体" w:hint="eastAsia"/>
          <w:kern w:val="0"/>
        </w:rPr>
        <w:t>精饲料组成参考配方</w:t>
      </w:r>
    </w:p>
    <w:tbl>
      <w:tblPr>
        <w:tblW w:w="8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3"/>
        <w:gridCol w:w="1686"/>
        <w:gridCol w:w="1686"/>
        <w:gridCol w:w="1686"/>
        <w:gridCol w:w="1686"/>
      </w:tblGrid>
      <w:tr w:rsidR="00CA6095">
        <w:trPr>
          <w:trHeight w:val="760"/>
        </w:trPr>
        <w:tc>
          <w:tcPr>
            <w:tcW w:w="1523" w:type="dxa"/>
            <w:noWrap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肉牛生长阶段</w:t>
            </w:r>
          </w:p>
        </w:tc>
        <w:tc>
          <w:tcPr>
            <w:tcW w:w="1686" w:type="dxa"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玉米（％）</w:t>
            </w:r>
          </w:p>
        </w:tc>
        <w:tc>
          <w:tcPr>
            <w:tcW w:w="1686" w:type="dxa"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饼粕类（％）</w:t>
            </w:r>
          </w:p>
        </w:tc>
        <w:tc>
          <w:tcPr>
            <w:tcW w:w="1686" w:type="dxa"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麸皮（％）</w:t>
            </w:r>
          </w:p>
        </w:tc>
        <w:tc>
          <w:tcPr>
            <w:tcW w:w="1686" w:type="dxa"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ascii="宋体" w:cs="Arial" w:hint="eastAsia"/>
                <w:kern w:val="0"/>
                <w:szCs w:val="21"/>
              </w:rPr>
              <w:t>预混料</w:t>
            </w:r>
            <w:r>
              <w:rPr>
                <w:rFonts w:ascii="宋体" w:hAnsi="宋体" w:cs="Arial" w:hint="eastAsia"/>
                <w:kern w:val="0"/>
                <w:szCs w:val="21"/>
              </w:rPr>
              <w:t>（％）</w:t>
            </w:r>
          </w:p>
        </w:tc>
      </w:tr>
      <w:tr w:rsidR="00CA6095">
        <w:trPr>
          <w:trHeight w:val="760"/>
        </w:trPr>
        <w:tc>
          <w:tcPr>
            <w:tcW w:w="1523" w:type="dxa"/>
            <w:noWrap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犊牛期</w:t>
            </w:r>
          </w:p>
        </w:tc>
        <w:tc>
          <w:tcPr>
            <w:tcW w:w="1686" w:type="dxa"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60</w:t>
            </w:r>
          </w:p>
        </w:tc>
        <w:tc>
          <w:tcPr>
            <w:tcW w:w="1686" w:type="dxa"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25</w:t>
            </w:r>
          </w:p>
        </w:tc>
        <w:tc>
          <w:tcPr>
            <w:tcW w:w="1686" w:type="dxa"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11</w:t>
            </w:r>
          </w:p>
        </w:tc>
        <w:tc>
          <w:tcPr>
            <w:tcW w:w="1686" w:type="dxa"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4</w:t>
            </w:r>
          </w:p>
        </w:tc>
      </w:tr>
      <w:tr w:rsidR="00CA6095">
        <w:trPr>
          <w:trHeight w:val="760"/>
        </w:trPr>
        <w:tc>
          <w:tcPr>
            <w:tcW w:w="1523" w:type="dxa"/>
            <w:noWrap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育成期</w:t>
            </w:r>
          </w:p>
        </w:tc>
        <w:tc>
          <w:tcPr>
            <w:tcW w:w="1686" w:type="dxa"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65</w:t>
            </w:r>
          </w:p>
        </w:tc>
        <w:tc>
          <w:tcPr>
            <w:tcW w:w="1686" w:type="dxa"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21</w:t>
            </w:r>
          </w:p>
        </w:tc>
        <w:tc>
          <w:tcPr>
            <w:tcW w:w="1686" w:type="dxa"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1686" w:type="dxa"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4</w:t>
            </w:r>
          </w:p>
        </w:tc>
      </w:tr>
      <w:tr w:rsidR="00CA6095">
        <w:trPr>
          <w:trHeight w:val="760"/>
        </w:trPr>
        <w:tc>
          <w:tcPr>
            <w:tcW w:w="1523" w:type="dxa"/>
            <w:noWrap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育肥前期</w:t>
            </w:r>
          </w:p>
        </w:tc>
        <w:tc>
          <w:tcPr>
            <w:tcW w:w="1686" w:type="dxa"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70</w:t>
            </w:r>
          </w:p>
        </w:tc>
        <w:tc>
          <w:tcPr>
            <w:tcW w:w="1686" w:type="dxa"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17</w:t>
            </w:r>
          </w:p>
        </w:tc>
        <w:tc>
          <w:tcPr>
            <w:tcW w:w="1686" w:type="dxa"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9</w:t>
            </w:r>
          </w:p>
        </w:tc>
        <w:tc>
          <w:tcPr>
            <w:tcW w:w="1686" w:type="dxa"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4</w:t>
            </w:r>
          </w:p>
        </w:tc>
      </w:tr>
      <w:tr w:rsidR="00CA6095">
        <w:trPr>
          <w:trHeight w:val="760"/>
        </w:trPr>
        <w:tc>
          <w:tcPr>
            <w:tcW w:w="1523" w:type="dxa"/>
            <w:noWrap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育肥中期</w:t>
            </w:r>
          </w:p>
        </w:tc>
        <w:tc>
          <w:tcPr>
            <w:tcW w:w="1686" w:type="dxa"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72</w:t>
            </w:r>
          </w:p>
        </w:tc>
        <w:tc>
          <w:tcPr>
            <w:tcW w:w="1686" w:type="dxa"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16</w:t>
            </w:r>
          </w:p>
        </w:tc>
        <w:tc>
          <w:tcPr>
            <w:tcW w:w="1686" w:type="dxa"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1686" w:type="dxa"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4</w:t>
            </w:r>
          </w:p>
        </w:tc>
      </w:tr>
      <w:tr w:rsidR="00CA6095">
        <w:trPr>
          <w:trHeight w:val="760"/>
        </w:trPr>
        <w:tc>
          <w:tcPr>
            <w:tcW w:w="1523" w:type="dxa"/>
            <w:noWrap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育肥后期</w:t>
            </w:r>
          </w:p>
        </w:tc>
        <w:tc>
          <w:tcPr>
            <w:tcW w:w="1686" w:type="dxa"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73</w:t>
            </w:r>
          </w:p>
        </w:tc>
        <w:tc>
          <w:tcPr>
            <w:tcW w:w="1686" w:type="dxa"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15</w:t>
            </w:r>
          </w:p>
        </w:tc>
        <w:tc>
          <w:tcPr>
            <w:tcW w:w="1686" w:type="dxa"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1686" w:type="dxa"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4</w:t>
            </w:r>
          </w:p>
        </w:tc>
      </w:tr>
    </w:tbl>
    <w:p w:rsidR="00CA6095" w:rsidRDefault="00E874A6">
      <w:pPr>
        <w:spacing w:line="360" w:lineRule="auto"/>
        <w:jc w:val="left"/>
        <w:rPr>
          <w:rFonts w:ascii="黑体" w:eastAsia="黑体" w:hAnsi="黑体" w:cs="黑体"/>
          <w:kern w:val="0"/>
          <w:szCs w:val="21"/>
        </w:rPr>
      </w:pPr>
      <w:r>
        <w:rPr>
          <w:rFonts w:ascii="???" w:hAnsi="???" w:cs="Arial" w:hint="eastAsia"/>
          <w:color w:val="000000" w:themeColor="text1"/>
          <w:kern w:val="0"/>
          <w:szCs w:val="21"/>
        </w:rPr>
        <w:t>注：饼粕类指芝麻粕、豆粕、花生饼等，豆粕、花生饼日食量不超过</w:t>
      </w:r>
      <w:r>
        <w:rPr>
          <w:rFonts w:ascii="???" w:hAnsi="???" w:cs="Arial" w:hint="eastAsia"/>
          <w:color w:val="000000" w:themeColor="text1"/>
          <w:kern w:val="0"/>
          <w:szCs w:val="21"/>
        </w:rPr>
        <w:t>3kg</w:t>
      </w:r>
      <w:r>
        <w:rPr>
          <w:rFonts w:ascii="???" w:hAnsi="???" w:cs="Arial" w:hint="eastAsia"/>
          <w:color w:val="000000" w:themeColor="text1"/>
          <w:kern w:val="0"/>
          <w:szCs w:val="21"/>
        </w:rPr>
        <w:t>。</w:t>
      </w:r>
    </w:p>
    <w:p w:rsidR="00CA6095" w:rsidRDefault="00E874A6" w:rsidP="009C7A86">
      <w:pPr>
        <w:pStyle w:val="1"/>
        <w:spacing w:beforeLines="50" w:afterLines="50" w:line="400" w:lineRule="atLeast"/>
        <w:contextualSpacing/>
        <w:jc w:val="center"/>
        <w:rPr>
          <w:rFonts w:ascii="黑体" w:eastAsia="黑体" w:hAnsi="黑体"/>
          <w:kern w:val="0"/>
        </w:rPr>
      </w:pPr>
      <w:r>
        <w:rPr>
          <w:rFonts w:ascii="黑体" w:eastAsia="黑体" w:hAnsi="黑体" w:hint="eastAsia"/>
          <w:kern w:val="0"/>
        </w:rPr>
        <w:t>表</w:t>
      </w:r>
      <w:r>
        <w:rPr>
          <w:rFonts w:ascii="黑体" w:eastAsia="黑体" w:hAnsi="黑体"/>
          <w:kern w:val="0"/>
        </w:rPr>
        <w:t>A</w:t>
      </w:r>
      <w:r>
        <w:rPr>
          <w:rFonts w:ascii="黑体" w:eastAsia="黑体" w:hAnsi="黑体" w:hint="eastAsia"/>
          <w:kern w:val="0"/>
        </w:rPr>
        <w:t>.2 肉牛全价日粮组成参考配方（kg）</w:t>
      </w:r>
    </w:p>
    <w:tbl>
      <w:tblPr>
        <w:tblW w:w="8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17"/>
        <w:gridCol w:w="2100"/>
        <w:gridCol w:w="2100"/>
        <w:gridCol w:w="2145"/>
      </w:tblGrid>
      <w:tr w:rsidR="00CA6095">
        <w:trPr>
          <w:trHeight w:val="713"/>
        </w:trPr>
        <w:tc>
          <w:tcPr>
            <w:tcW w:w="1917" w:type="dxa"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平均日总采食量</w:t>
            </w:r>
          </w:p>
        </w:tc>
        <w:tc>
          <w:tcPr>
            <w:tcW w:w="2100" w:type="dxa"/>
            <w:noWrap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精饲料</w:t>
            </w:r>
          </w:p>
        </w:tc>
        <w:tc>
          <w:tcPr>
            <w:tcW w:w="2100" w:type="dxa"/>
            <w:noWrap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青贮饲料</w:t>
            </w:r>
          </w:p>
        </w:tc>
        <w:tc>
          <w:tcPr>
            <w:tcW w:w="2145" w:type="dxa"/>
            <w:noWrap/>
            <w:vAlign w:val="center"/>
          </w:tcPr>
          <w:p w:rsidR="00CA6095" w:rsidRDefault="00E874A6">
            <w:pPr>
              <w:spacing w:line="360" w:lineRule="auto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ascii="宋体" w:cs="Arial" w:hint="eastAsia"/>
                <w:kern w:val="0"/>
                <w:szCs w:val="21"/>
              </w:rPr>
              <w:t>干草</w:t>
            </w:r>
          </w:p>
        </w:tc>
      </w:tr>
      <w:tr w:rsidR="00CA6095">
        <w:trPr>
          <w:trHeight w:val="635"/>
        </w:trPr>
        <w:tc>
          <w:tcPr>
            <w:tcW w:w="1917" w:type="dxa"/>
            <w:vAlign w:val="center"/>
          </w:tcPr>
          <w:p w:rsidR="00CA6095" w:rsidRDefault="00E874A6">
            <w:pPr>
              <w:spacing w:line="40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1"/>
              </w:rPr>
              <w:t>4</w:t>
            </w:r>
          </w:p>
        </w:tc>
        <w:tc>
          <w:tcPr>
            <w:tcW w:w="2100" w:type="dxa"/>
            <w:noWrap/>
            <w:vAlign w:val="center"/>
          </w:tcPr>
          <w:p w:rsidR="00CA6095" w:rsidRDefault="00E874A6">
            <w:pPr>
              <w:spacing w:line="40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1"/>
              </w:rPr>
              <w:t>1</w:t>
            </w:r>
          </w:p>
        </w:tc>
        <w:tc>
          <w:tcPr>
            <w:tcW w:w="2100" w:type="dxa"/>
            <w:noWrap/>
            <w:vAlign w:val="center"/>
          </w:tcPr>
          <w:p w:rsidR="00CA6095" w:rsidRDefault="00E874A6">
            <w:pPr>
              <w:spacing w:line="40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1"/>
              </w:rPr>
              <w:t>0</w:t>
            </w:r>
            <w:r>
              <w:rPr>
                <w:rFonts w:asciiTheme="minorEastAsia" w:hAnsiTheme="minorEastAsia" w:cs="Times New Roman"/>
                <w:color w:val="000000"/>
                <w:kern w:val="0"/>
                <w:sz w:val="20"/>
                <w:szCs w:val="21"/>
              </w:rPr>
              <w:t>.00</w:t>
            </w:r>
          </w:p>
        </w:tc>
        <w:tc>
          <w:tcPr>
            <w:tcW w:w="2145" w:type="dxa"/>
            <w:noWrap/>
            <w:vAlign w:val="center"/>
          </w:tcPr>
          <w:p w:rsidR="00CA6095" w:rsidRDefault="00E874A6">
            <w:pPr>
              <w:spacing w:line="40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1"/>
              </w:rPr>
              <w:t>3</w:t>
            </w:r>
          </w:p>
        </w:tc>
      </w:tr>
      <w:tr w:rsidR="00CA6095">
        <w:trPr>
          <w:trHeight w:val="635"/>
        </w:trPr>
        <w:tc>
          <w:tcPr>
            <w:tcW w:w="1917" w:type="dxa"/>
            <w:vAlign w:val="center"/>
          </w:tcPr>
          <w:p w:rsidR="00CA6095" w:rsidRDefault="00E874A6">
            <w:pPr>
              <w:spacing w:line="40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1"/>
              </w:rPr>
              <w:t>6</w:t>
            </w:r>
          </w:p>
        </w:tc>
        <w:tc>
          <w:tcPr>
            <w:tcW w:w="2100" w:type="dxa"/>
            <w:noWrap/>
            <w:vAlign w:val="center"/>
          </w:tcPr>
          <w:p w:rsidR="00CA6095" w:rsidRDefault="00E874A6">
            <w:pPr>
              <w:spacing w:line="40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1"/>
              </w:rPr>
              <w:t>1.5</w:t>
            </w:r>
          </w:p>
        </w:tc>
        <w:tc>
          <w:tcPr>
            <w:tcW w:w="2100" w:type="dxa"/>
            <w:noWrap/>
            <w:vAlign w:val="center"/>
          </w:tcPr>
          <w:p w:rsidR="00CA6095" w:rsidRDefault="00E874A6">
            <w:pPr>
              <w:spacing w:line="40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1"/>
              </w:rPr>
              <w:t>3</w:t>
            </w:r>
          </w:p>
        </w:tc>
        <w:tc>
          <w:tcPr>
            <w:tcW w:w="2145" w:type="dxa"/>
            <w:noWrap/>
            <w:vAlign w:val="center"/>
          </w:tcPr>
          <w:p w:rsidR="00CA6095" w:rsidRDefault="00E874A6">
            <w:pPr>
              <w:spacing w:line="40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1"/>
              </w:rPr>
              <w:t>3</w:t>
            </w:r>
          </w:p>
        </w:tc>
      </w:tr>
      <w:tr w:rsidR="00CA6095">
        <w:trPr>
          <w:trHeight w:val="635"/>
        </w:trPr>
        <w:tc>
          <w:tcPr>
            <w:tcW w:w="1917" w:type="dxa"/>
            <w:vAlign w:val="center"/>
          </w:tcPr>
          <w:p w:rsidR="00CA6095" w:rsidRDefault="00E874A6">
            <w:pPr>
              <w:spacing w:line="40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1"/>
              </w:rPr>
              <w:t>10</w:t>
            </w:r>
          </w:p>
        </w:tc>
        <w:tc>
          <w:tcPr>
            <w:tcW w:w="2100" w:type="dxa"/>
            <w:noWrap/>
            <w:vAlign w:val="center"/>
          </w:tcPr>
          <w:p w:rsidR="00CA6095" w:rsidRDefault="00E874A6">
            <w:pPr>
              <w:spacing w:line="40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1"/>
              </w:rPr>
              <w:t>2</w:t>
            </w:r>
          </w:p>
        </w:tc>
        <w:tc>
          <w:tcPr>
            <w:tcW w:w="2100" w:type="dxa"/>
            <w:noWrap/>
            <w:vAlign w:val="center"/>
          </w:tcPr>
          <w:p w:rsidR="00CA6095" w:rsidRDefault="00E874A6">
            <w:pPr>
              <w:spacing w:line="40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1"/>
              </w:rPr>
              <w:t>5</w:t>
            </w:r>
          </w:p>
        </w:tc>
        <w:tc>
          <w:tcPr>
            <w:tcW w:w="2145" w:type="dxa"/>
            <w:noWrap/>
            <w:vAlign w:val="center"/>
          </w:tcPr>
          <w:p w:rsidR="00CA6095" w:rsidRDefault="00E874A6">
            <w:pPr>
              <w:spacing w:line="40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1"/>
              </w:rPr>
              <w:t>3</w:t>
            </w:r>
          </w:p>
        </w:tc>
      </w:tr>
      <w:tr w:rsidR="00CA6095">
        <w:trPr>
          <w:trHeight w:val="635"/>
        </w:trPr>
        <w:tc>
          <w:tcPr>
            <w:tcW w:w="1917" w:type="dxa"/>
            <w:vAlign w:val="center"/>
          </w:tcPr>
          <w:p w:rsidR="00CA6095" w:rsidRDefault="00E874A6">
            <w:pPr>
              <w:spacing w:line="40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1"/>
              </w:rPr>
              <w:t>14</w:t>
            </w:r>
          </w:p>
        </w:tc>
        <w:tc>
          <w:tcPr>
            <w:tcW w:w="2100" w:type="dxa"/>
            <w:noWrap/>
            <w:vAlign w:val="center"/>
          </w:tcPr>
          <w:p w:rsidR="00CA6095" w:rsidRDefault="00E874A6">
            <w:pPr>
              <w:spacing w:line="40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1"/>
              </w:rPr>
              <w:t>3</w:t>
            </w:r>
          </w:p>
        </w:tc>
        <w:tc>
          <w:tcPr>
            <w:tcW w:w="2100" w:type="dxa"/>
            <w:noWrap/>
            <w:vAlign w:val="center"/>
          </w:tcPr>
          <w:p w:rsidR="00CA6095" w:rsidRDefault="00E874A6">
            <w:pPr>
              <w:spacing w:line="40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1"/>
              </w:rPr>
              <w:t>7</w:t>
            </w:r>
          </w:p>
        </w:tc>
        <w:tc>
          <w:tcPr>
            <w:tcW w:w="2145" w:type="dxa"/>
            <w:noWrap/>
            <w:vAlign w:val="center"/>
          </w:tcPr>
          <w:p w:rsidR="00CA6095" w:rsidRDefault="00E874A6">
            <w:pPr>
              <w:spacing w:line="40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1"/>
              </w:rPr>
              <w:t>4</w:t>
            </w:r>
          </w:p>
        </w:tc>
      </w:tr>
      <w:tr w:rsidR="00CA6095">
        <w:trPr>
          <w:trHeight w:val="635"/>
        </w:trPr>
        <w:tc>
          <w:tcPr>
            <w:tcW w:w="1917" w:type="dxa"/>
            <w:vAlign w:val="center"/>
          </w:tcPr>
          <w:p w:rsidR="00CA6095" w:rsidRDefault="00E874A6">
            <w:pPr>
              <w:spacing w:line="400" w:lineRule="atLeast"/>
              <w:jc w:val="center"/>
              <w:rPr>
                <w:rFonts w:asciiTheme="minorEastAsia" w:hAnsiTheme="minorEastAsia" w:cs="Times New Roman"/>
                <w:kern w:val="0"/>
                <w:sz w:val="2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1"/>
              </w:rPr>
              <w:t>15</w:t>
            </w:r>
          </w:p>
        </w:tc>
        <w:tc>
          <w:tcPr>
            <w:tcW w:w="2100" w:type="dxa"/>
            <w:noWrap/>
            <w:vAlign w:val="center"/>
          </w:tcPr>
          <w:p w:rsidR="00CA6095" w:rsidRDefault="00E874A6">
            <w:pPr>
              <w:spacing w:line="400" w:lineRule="atLeast"/>
              <w:jc w:val="center"/>
              <w:rPr>
                <w:rFonts w:asciiTheme="minorEastAsia" w:hAnsiTheme="minorEastAsia" w:cs="Times New Roman"/>
                <w:kern w:val="0"/>
                <w:sz w:val="2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1"/>
              </w:rPr>
              <w:t>4</w:t>
            </w:r>
          </w:p>
        </w:tc>
        <w:tc>
          <w:tcPr>
            <w:tcW w:w="2100" w:type="dxa"/>
            <w:noWrap/>
            <w:vAlign w:val="center"/>
          </w:tcPr>
          <w:p w:rsidR="00CA6095" w:rsidRDefault="00E874A6">
            <w:pPr>
              <w:spacing w:line="400" w:lineRule="atLeast"/>
              <w:jc w:val="center"/>
              <w:rPr>
                <w:rFonts w:asciiTheme="minorEastAsia" w:hAnsiTheme="minorEastAsia" w:cs="Times New Roman"/>
                <w:kern w:val="0"/>
                <w:sz w:val="2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1"/>
              </w:rPr>
              <w:t>7</w:t>
            </w:r>
          </w:p>
        </w:tc>
        <w:tc>
          <w:tcPr>
            <w:tcW w:w="2145" w:type="dxa"/>
            <w:noWrap/>
            <w:vAlign w:val="center"/>
          </w:tcPr>
          <w:p w:rsidR="00CA6095" w:rsidRDefault="00E874A6">
            <w:pPr>
              <w:spacing w:line="400" w:lineRule="atLeast"/>
              <w:jc w:val="center"/>
              <w:rPr>
                <w:rFonts w:asciiTheme="minorEastAsia" w:hAnsiTheme="minorEastAsia" w:cs="Times New Roman"/>
                <w:kern w:val="0"/>
                <w:sz w:val="2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1"/>
              </w:rPr>
              <w:t>4</w:t>
            </w:r>
          </w:p>
        </w:tc>
      </w:tr>
      <w:tr w:rsidR="00CA6095">
        <w:trPr>
          <w:trHeight w:val="635"/>
        </w:trPr>
        <w:tc>
          <w:tcPr>
            <w:tcW w:w="1917" w:type="dxa"/>
            <w:vAlign w:val="center"/>
          </w:tcPr>
          <w:p w:rsidR="00CA6095" w:rsidRDefault="00E874A6">
            <w:pPr>
              <w:spacing w:line="40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1"/>
              </w:rPr>
              <w:t>20</w:t>
            </w:r>
          </w:p>
        </w:tc>
        <w:tc>
          <w:tcPr>
            <w:tcW w:w="2100" w:type="dxa"/>
            <w:noWrap/>
            <w:vAlign w:val="center"/>
          </w:tcPr>
          <w:p w:rsidR="00CA6095" w:rsidRDefault="00E874A6">
            <w:pPr>
              <w:spacing w:line="40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1"/>
              </w:rPr>
              <w:t>5</w:t>
            </w:r>
          </w:p>
        </w:tc>
        <w:tc>
          <w:tcPr>
            <w:tcW w:w="2100" w:type="dxa"/>
            <w:noWrap/>
            <w:vAlign w:val="center"/>
          </w:tcPr>
          <w:p w:rsidR="00CA6095" w:rsidRDefault="00E874A6">
            <w:pPr>
              <w:spacing w:line="40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1"/>
              </w:rPr>
              <w:t>11</w:t>
            </w:r>
          </w:p>
        </w:tc>
        <w:tc>
          <w:tcPr>
            <w:tcW w:w="2145" w:type="dxa"/>
            <w:noWrap/>
            <w:vAlign w:val="center"/>
          </w:tcPr>
          <w:p w:rsidR="00CA6095" w:rsidRDefault="00E874A6">
            <w:pPr>
              <w:spacing w:line="40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1"/>
              </w:rPr>
              <w:t>4</w:t>
            </w:r>
          </w:p>
        </w:tc>
      </w:tr>
    </w:tbl>
    <w:p w:rsidR="00CA6095" w:rsidRDefault="00E874A6">
      <w:pPr>
        <w:spacing w:line="360" w:lineRule="auto"/>
        <w:jc w:val="left"/>
        <w:rPr>
          <w:rFonts w:eastAsia="黑体"/>
          <w:color w:val="000000" w:themeColor="text1"/>
        </w:rPr>
      </w:pPr>
      <w:r>
        <w:rPr>
          <w:rFonts w:ascii="???" w:hAnsi="???" w:cs="Arial" w:hint="eastAsia"/>
          <w:color w:val="000000" w:themeColor="text1"/>
          <w:kern w:val="0"/>
          <w:szCs w:val="21"/>
        </w:rPr>
        <w:t>注：</w:t>
      </w:r>
      <w:r>
        <w:rPr>
          <w:rFonts w:ascii="宋体" w:hAnsi="宋体" w:cs="Arial" w:hint="eastAsia"/>
          <w:color w:val="000000" w:themeColor="text1"/>
          <w:kern w:val="0"/>
          <w:szCs w:val="21"/>
        </w:rPr>
        <w:t>青贮饲料主要包括玉米全株青贮，高丹草、甜高粱等专用青贮牧草。干草主要包括玉米秸秆、干麦草、苜蓿、花生秧等区域内农作物优质秸秆和专用牧草。</w:t>
      </w:r>
    </w:p>
    <w:p w:rsidR="00CA6095" w:rsidRDefault="00E874A6">
      <w:pPr>
        <w:rPr>
          <w:rFonts w:ascii="黑体" w:eastAsia="黑体" w:hAnsi="黑体" w:cs="黑体"/>
          <w:kern w:val="0"/>
          <w:szCs w:val="21"/>
        </w:rPr>
      </w:pPr>
      <w:r>
        <w:rPr>
          <w:rFonts w:ascii="Times New Roman" w:eastAsia="黑体" w:hAnsi="Times New Roman" w:hint="eastAsia"/>
          <w:kern w:val="0"/>
          <w:szCs w:val="21"/>
        </w:rPr>
        <w:br w:type="page"/>
      </w:r>
    </w:p>
    <w:p w:rsidR="00CA6095" w:rsidRDefault="00E874A6">
      <w:pPr>
        <w:jc w:val="center"/>
        <w:rPr>
          <w:rFonts w:ascii="黑体" w:eastAsia="黑体" w:hAnsi="黑体"/>
          <w:kern w:val="0"/>
          <w:sz w:val="24"/>
          <w:szCs w:val="24"/>
        </w:rPr>
      </w:pPr>
      <w:r>
        <w:rPr>
          <w:rFonts w:ascii="黑体" w:eastAsia="黑体" w:hAnsi="黑体" w:hint="eastAsia"/>
          <w:kern w:val="0"/>
          <w:sz w:val="24"/>
          <w:szCs w:val="24"/>
        </w:rPr>
        <w:lastRenderedPageBreak/>
        <w:t>附录B</w:t>
      </w:r>
    </w:p>
    <w:p w:rsidR="00CA6095" w:rsidRDefault="00E874A6">
      <w:pPr>
        <w:jc w:val="center"/>
        <w:rPr>
          <w:rFonts w:ascii="黑体" w:eastAsia="黑体" w:hAnsi="黑体" w:cs="黑体"/>
          <w:kern w:val="0"/>
          <w:szCs w:val="21"/>
        </w:rPr>
      </w:pPr>
      <w:r>
        <w:rPr>
          <w:rFonts w:ascii="黑体" w:eastAsia="黑体" w:hAnsi="黑体" w:hint="eastAsia"/>
          <w:kern w:val="0"/>
          <w:sz w:val="24"/>
          <w:szCs w:val="24"/>
        </w:rPr>
        <w:t>北方农牧交错带</w:t>
      </w:r>
      <w:r w:rsidR="00872152">
        <w:rPr>
          <w:rFonts w:ascii="黑体" w:eastAsia="黑体" w:hAnsi="黑体" w:hint="eastAsia"/>
          <w:kern w:val="0"/>
          <w:sz w:val="24"/>
          <w:szCs w:val="24"/>
        </w:rPr>
        <w:t xml:space="preserve">  </w:t>
      </w:r>
      <w:r>
        <w:rPr>
          <w:rFonts w:ascii="黑体" w:eastAsia="黑体" w:hAnsi="黑体" w:hint="eastAsia"/>
          <w:kern w:val="0"/>
          <w:sz w:val="24"/>
          <w:szCs w:val="24"/>
        </w:rPr>
        <w:t>绿色食品肉牛养殖推荐兽药及疫苗使用方案</w:t>
      </w:r>
    </w:p>
    <w:p w:rsidR="00CA6095" w:rsidRDefault="00E874A6">
      <w:pPr>
        <w:spacing w:line="400" w:lineRule="atLeast"/>
        <w:contextualSpacing/>
        <w:jc w:val="center"/>
        <w:rPr>
          <w:rFonts w:ascii="黑体" w:eastAsia="黑体" w:hAnsi="黑体" w:cs="黑体"/>
          <w:kern w:val="0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t>（资料性附录）</w:t>
      </w:r>
    </w:p>
    <w:p w:rsidR="00CA6095" w:rsidRDefault="00E874A6">
      <w:pPr>
        <w:jc w:val="center"/>
        <w:rPr>
          <w:rFonts w:ascii="黑体" w:eastAsia="黑体"/>
          <w:kern w:val="0"/>
          <w:szCs w:val="21"/>
        </w:rPr>
      </w:pPr>
      <w:r>
        <w:rPr>
          <w:rFonts w:ascii="黑体" w:eastAsia="黑体" w:hAnsi="黑体" w:cs="黑体" w:hint="eastAsia"/>
          <w:kern w:val="0"/>
          <w:szCs w:val="21"/>
        </w:rPr>
        <w:t>表B.</w:t>
      </w:r>
      <w:r>
        <w:rPr>
          <w:rFonts w:ascii="黑体" w:eastAsia="黑体" w:hAnsi="黑体" w:cs="黑体" w:hint="eastAsia"/>
        </w:rPr>
        <w:t>1</w:t>
      </w:r>
      <w:r>
        <w:rPr>
          <w:rFonts w:ascii="黑体" w:eastAsia="黑体" w:hint="eastAsia"/>
          <w:kern w:val="0"/>
          <w:szCs w:val="21"/>
        </w:rPr>
        <w:t>推荐的肉牛兽药使用方案</w:t>
      </w:r>
    </w:p>
    <w:tbl>
      <w:tblPr>
        <w:tblStyle w:val="a8"/>
        <w:tblW w:w="8522" w:type="dxa"/>
        <w:jc w:val="center"/>
        <w:tblLayout w:type="fixed"/>
        <w:tblLook w:val="04A0"/>
      </w:tblPr>
      <w:tblGrid>
        <w:gridCol w:w="853"/>
        <w:gridCol w:w="1710"/>
        <w:gridCol w:w="944"/>
        <w:gridCol w:w="1456"/>
        <w:gridCol w:w="2430"/>
        <w:gridCol w:w="1129"/>
      </w:tblGrid>
      <w:tr w:rsidR="00CA6095">
        <w:trPr>
          <w:trHeight w:val="363"/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40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类别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40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药名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40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剂型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40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途径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40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剂量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40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停药期</w:t>
            </w:r>
          </w:p>
        </w:tc>
      </w:tr>
      <w:tr w:rsidR="00CA6095">
        <w:trPr>
          <w:cantSplit/>
          <w:trHeight w:val="363"/>
          <w:jc w:val="center"/>
        </w:trPr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40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抗寄生虫药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伊维菌素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注射液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皮下注射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0.2mg/kg体重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35天</w:t>
            </w:r>
            <w:r w:rsidR="00872152"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，产奶期禁用</w:t>
            </w:r>
          </w:p>
        </w:tc>
      </w:tr>
      <w:tr w:rsidR="00CA6095">
        <w:trPr>
          <w:cantSplit/>
          <w:trHeight w:val="363"/>
          <w:jc w:val="center"/>
        </w:trPr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095" w:rsidRDefault="00CA6095">
            <w:pPr>
              <w:spacing w:line="40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碘醚柳胺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粉剂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口服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7mg-12mg /kg体重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60天</w:t>
            </w:r>
            <w:r w:rsidR="00872152"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，产奶期禁用</w:t>
            </w:r>
          </w:p>
        </w:tc>
      </w:tr>
      <w:tr w:rsidR="00CA6095">
        <w:trPr>
          <w:cantSplit/>
          <w:trHeight w:val="363"/>
          <w:jc w:val="center"/>
        </w:trPr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095" w:rsidRDefault="00CA6095">
            <w:pPr>
              <w:spacing w:line="40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氯氰碘柳胺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注射液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皮下注射或肌肉注射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2.5mg-5mg/kg体重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28天</w:t>
            </w:r>
          </w:p>
        </w:tc>
      </w:tr>
      <w:tr w:rsidR="00CA6095">
        <w:trPr>
          <w:cantSplit/>
          <w:trHeight w:val="363"/>
          <w:jc w:val="center"/>
        </w:trPr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095" w:rsidRDefault="00CA6095">
            <w:pPr>
              <w:spacing w:line="40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左旋咪唑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片剂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口服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7.5mg/kg体重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3 天</w:t>
            </w:r>
            <w:r w:rsidR="00872152"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，产奶期禁用</w:t>
            </w:r>
          </w:p>
        </w:tc>
      </w:tr>
      <w:tr w:rsidR="00CA6095">
        <w:trPr>
          <w:cantSplit/>
          <w:trHeight w:val="363"/>
          <w:jc w:val="center"/>
        </w:trPr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CA6095">
            <w:pPr>
              <w:spacing w:line="40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CA6095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注射液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肌肉注射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7.5mg/kg体重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20 天</w:t>
            </w:r>
            <w:r w:rsidR="00872152"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，产奶期禁用</w:t>
            </w:r>
          </w:p>
        </w:tc>
      </w:tr>
      <w:tr w:rsidR="00CA6095">
        <w:trPr>
          <w:cantSplit/>
          <w:trHeight w:val="363"/>
          <w:jc w:val="center"/>
        </w:trPr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40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抗菌药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普鲁卡因青霉素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注射液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肌肉注射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1万-2万单位/kg体重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10天</w:t>
            </w:r>
          </w:p>
        </w:tc>
      </w:tr>
      <w:tr w:rsidR="00CA6095">
        <w:trPr>
          <w:cantSplit/>
          <w:trHeight w:val="363"/>
          <w:jc w:val="center"/>
        </w:trPr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CA6095">
            <w:pPr>
              <w:spacing w:line="40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替米考星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注射液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皮下注射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10mg/kg体重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35天</w:t>
            </w:r>
          </w:p>
        </w:tc>
      </w:tr>
      <w:tr w:rsidR="00CA6095">
        <w:trPr>
          <w:cantSplit/>
          <w:trHeight w:val="363"/>
          <w:jc w:val="center"/>
        </w:trPr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CA6095">
            <w:pPr>
              <w:spacing w:line="40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庆大霉素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注射液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肌肉注射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2mg-4mg/kg体重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40天</w:t>
            </w:r>
          </w:p>
        </w:tc>
      </w:tr>
      <w:tr w:rsidR="00CA6095">
        <w:trPr>
          <w:cantSplit/>
          <w:trHeight w:val="363"/>
          <w:jc w:val="center"/>
        </w:trPr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CA6095">
            <w:pPr>
              <w:spacing w:line="40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氟苯尼考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注射液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肌肉注射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20mg-30mg／kg体重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14天</w:t>
            </w:r>
          </w:p>
        </w:tc>
      </w:tr>
      <w:tr w:rsidR="00CA6095">
        <w:trPr>
          <w:cantSplit/>
          <w:trHeight w:val="363"/>
          <w:jc w:val="center"/>
        </w:trPr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CA6095">
            <w:pPr>
              <w:spacing w:line="40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环丙沙星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粉剂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口服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0.02%～0.04%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0天</w:t>
            </w:r>
          </w:p>
        </w:tc>
      </w:tr>
      <w:tr w:rsidR="00CA6095">
        <w:trPr>
          <w:cantSplit/>
          <w:trHeight w:val="363"/>
          <w:jc w:val="center"/>
        </w:trPr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CA6095">
            <w:pPr>
              <w:spacing w:line="40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CA6095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注射液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肌肉注射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10mg～15mg／kg体重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0天</w:t>
            </w:r>
          </w:p>
        </w:tc>
      </w:tr>
      <w:tr w:rsidR="00CA6095">
        <w:trPr>
          <w:cantSplit/>
          <w:trHeight w:val="363"/>
          <w:jc w:val="center"/>
        </w:trPr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CA6095">
            <w:pPr>
              <w:spacing w:line="40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林可霉素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粉剂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饮水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0.02%～0.03%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5天</w:t>
            </w:r>
          </w:p>
        </w:tc>
      </w:tr>
      <w:tr w:rsidR="00CA6095">
        <w:trPr>
          <w:cantSplit/>
          <w:trHeight w:val="363"/>
          <w:jc w:val="center"/>
        </w:trPr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CA6095">
            <w:pPr>
              <w:spacing w:line="40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CA6095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注射液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肌肉注射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20mg～50mg／kg体重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spacing w:line="0" w:lineRule="atLeast"/>
              <w:jc w:val="center"/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kern w:val="0"/>
                <w:szCs w:val="21"/>
              </w:rPr>
              <w:t>5天</w:t>
            </w:r>
          </w:p>
        </w:tc>
      </w:tr>
      <w:tr w:rsidR="00CA6095">
        <w:trPr>
          <w:cantSplit/>
          <w:trHeight w:val="363"/>
          <w:jc w:val="center"/>
        </w:trPr>
        <w:tc>
          <w:tcPr>
            <w:tcW w:w="8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95" w:rsidRDefault="00E874A6">
            <w:pPr>
              <w:rPr>
                <w:rFonts w:asciiTheme="minorEastAsia" w:hAnsiTheme="minorEastAsia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注：兽药使用以最新版本NY/T472的规定为准。</w:t>
            </w:r>
          </w:p>
        </w:tc>
      </w:tr>
    </w:tbl>
    <w:p w:rsidR="00CA6095" w:rsidRDefault="00E874A6">
      <w:pPr>
        <w:widowControl/>
        <w:jc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kern w:val="0"/>
          <w:szCs w:val="21"/>
        </w:rPr>
        <w:t>表B.2</w:t>
      </w:r>
      <w:r>
        <w:rPr>
          <w:rFonts w:ascii="黑体" w:eastAsia="黑体" w:hAnsi="黑体" w:cs="黑体" w:hint="eastAsia"/>
          <w:szCs w:val="21"/>
        </w:rPr>
        <w:t>肉牛场常用免疫程序</w:t>
      </w:r>
    </w:p>
    <w:tbl>
      <w:tblPr>
        <w:tblStyle w:val="a8"/>
        <w:tblW w:w="8420" w:type="dxa"/>
        <w:tblLayout w:type="fixed"/>
        <w:tblLook w:val="04A0"/>
      </w:tblPr>
      <w:tblGrid>
        <w:gridCol w:w="917"/>
        <w:gridCol w:w="2540"/>
        <w:gridCol w:w="3113"/>
        <w:gridCol w:w="1850"/>
      </w:tblGrid>
      <w:tr w:rsidR="00CA6095">
        <w:trPr>
          <w:trHeight w:val="476"/>
        </w:trPr>
        <w:tc>
          <w:tcPr>
            <w:tcW w:w="917" w:type="dxa"/>
            <w:vAlign w:val="center"/>
          </w:tcPr>
          <w:p w:rsidR="00CA6095" w:rsidRDefault="00E874A6">
            <w:pPr>
              <w:widowControl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月龄</w:t>
            </w:r>
          </w:p>
        </w:tc>
        <w:tc>
          <w:tcPr>
            <w:tcW w:w="2540" w:type="dxa"/>
            <w:vAlign w:val="center"/>
          </w:tcPr>
          <w:p w:rsidR="00CA6095" w:rsidRDefault="00E874A6">
            <w:pPr>
              <w:widowControl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疫苗</w:t>
            </w:r>
          </w:p>
        </w:tc>
        <w:tc>
          <w:tcPr>
            <w:tcW w:w="3113" w:type="dxa"/>
            <w:vAlign w:val="center"/>
          </w:tcPr>
          <w:p w:rsidR="00CA6095" w:rsidRDefault="00E874A6">
            <w:pPr>
              <w:widowControl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接种</w:t>
            </w:r>
          </w:p>
        </w:tc>
        <w:tc>
          <w:tcPr>
            <w:tcW w:w="1850" w:type="dxa"/>
            <w:vAlign w:val="center"/>
          </w:tcPr>
          <w:p w:rsidR="00CA6095" w:rsidRDefault="00E874A6">
            <w:pPr>
              <w:widowControl/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备注</w:t>
            </w:r>
          </w:p>
        </w:tc>
      </w:tr>
      <w:tr w:rsidR="00CA6095">
        <w:trPr>
          <w:trHeight w:val="476"/>
        </w:trPr>
        <w:tc>
          <w:tcPr>
            <w:tcW w:w="917" w:type="dxa"/>
            <w:vMerge w:val="restart"/>
            <w:vAlign w:val="center"/>
          </w:tcPr>
          <w:p w:rsidR="00CA6095" w:rsidRDefault="00E874A6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1月龄</w:t>
            </w:r>
          </w:p>
        </w:tc>
        <w:tc>
          <w:tcPr>
            <w:tcW w:w="2540" w:type="dxa"/>
            <w:vAlign w:val="center"/>
          </w:tcPr>
          <w:p w:rsidR="00CA6095" w:rsidRDefault="00E874A6">
            <w:pPr>
              <w:widowControl/>
              <w:spacing w:line="0" w:lineRule="atLeast"/>
              <w:ind w:firstLineChars="200" w:firstLine="420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伪狂犬灭活苗</w:t>
            </w:r>
          </w:p>
        </w:tc>
        <w:tc>
          <w:tcPr>
            <w:tcW w:w="3113" w:type="dxa"/>
            <w:vAlign w:val="center"/>
          </w:tcPr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皮下注射8ml</w:t>
            </w:r>
          </w:p>
        </w:tc>
        <w:tc>
          <w:tcPr>
            <w:tcW w:w="1850" w:type="dxa"/>
            <w:vAlign w:val="center"/>
          </w:tcPr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免疫期12个月</w:t>
            </w:r>
          </w:p>
        </w:tc>
      </w:tr>
      <w:tr w:rsidR="00CA6095">
        <w:trPr>
          <w:trHeight w:val="476"/>
        </w:trPr>
        <w:tc>
          <w:tcPr>
            <w:tcW w:w="917" w:type="dxa"/>
            <w:vMerge/>
            <w:vAlign w:val="center"/>
          </w:tcPr>
          <w:p w:rsidR="00CA6095" w:rsidRDefault="00CA6095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2540" w:type="dxa"/>
            <w:vAlign w:val="center"/>
          </w:tcPr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破伤风明矾沉淀类毒素</w:t>
            </w:r>
          </w:p>
        </w:tc>
        <w:tc>
          <w:tcPr>
            <w:tcW w:w="3113" w:type="dxa"/>
            <w:vAlign w:val="center"/>
          </w:tcPr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皮下注射0.5ml</w:t>
            </w:r>
          </w:p>
        </w:tc>
        <w:tc>
          <w:tcPr>
            <w:tcW w:w="1850" w:type="dxa"/>
            <w:vAlign w:val="center"/>
          </w:tcPr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免疫期9个月</w:t>
            </w:r>
          </w:p>
        </w:tc>
      </w:tr>
      <w:tr w:rsidR="00CA6095">
        <w:trPr>
          <w:trHeight w:val="476"/>
        </w:trPr>
        <w:tc>
          <w:tcPr>
            <w:tcW w:w="917" w:type="dxa"/>
            <w:vMerge w:val="restart"/>
            <w:vAlign w:val="center"/>
          </w:tcPr>
          <w:p w:rsidR="00CA6095" w:rsidRDefault="00E874A6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6月龄</w:t>
            </w:r>
          </w:p>
        </w:tc>
        <w:tc>
          <w:tcPr>
            <w:tcW w:w="2540" w:type="dxa"/>
            <w:vAlign w:val="center"/>
          </w:tcPr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兽医狂犬病ERA株弱毒细胞苗</w:t>
            </w:r>
          </w:p>
        </w:tc>
        <w:tc>
          <w:tcPr>
            <w:tcW w:w="3113" w:type="dxa"/>
            <w:vAlign w:val="center"/>
          </w:tcPr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每天肌肉或皮下注射5ml-10ml</w:t>
            </w:r>
          </w:p>
        </w:tc>
        <w:tc>
          <w:tcPr>
            <w:tcW w:w="1850" w:type="dxa"/>
            <w:vAlign w:val="center"/>
          </w:tcPr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免疫期12个月</w:t>
            </w:r>
          </w:p>
        </w:tc>
      </w:tr>
      <w:tr w:rsidR="00CA6095">
        <w:trPr>
          <w:trHeight w:val="476"/>
        </w:trPr>
        <w:tc>
          <w:tcPr>
            <w:tcW w:w="917" w:type="dxa"/>
            <w:vMerge/>
            <w:vAlign w:val="center"/>
          </w:tcPr>
          <w:p w:rsidR="00CA6095" w:rsidRDefault="00CA6095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2540" w:type="dxa"/>
            <w:vAlign w:val="center"/>
          </w:tcPr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O型口蹄疫疫苗</w:t>
            </w:r>
          </w:p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A型口蹄疫疫苗</w:t>
            </w:r>
          </w:p>
        </w:tc>
        <w:tc>
          <w:tcPr>
            <w:tcW w:w="3113" w:type="dxa"/>
            <w:vAlign w:val="center"/>
          </w:tcPr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每天肌肉或皮下注射1ml-3ml,每年换季注射一次</w:t>
            </w:r>
          </w:p>
        </w:tc>
        <w:tc>
          <w:tcPr>
            <w:tcW w:w="1850" w:type="dxa"/>
            <w:vAlign w:val="center"/>
          </w:tcPr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免疫期6个月</w:t>
            </w:r>
          </w:p>
        </w:tc>
      </w:tr>
      <w:tr w:rsidR="00CA6095">
        <w:trPr>
          <w:trHeight w:val="476"/>
        </w:trPr>
        <w:tc>
          <w:tcPr>
            <w:tcW w:w="917" w:type="dxa"/>
            <w:vMerge/>
            <w:vAlign w:val="center"/>
          </w:tcPr>
          <w:p w:rsidR="00CA6095" w:rsidRDefault="00CA6095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2540" w:type="dxa"/>
            <w:vAlign w:val="center"/>
          </w:tcPr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牛流行热灭活苗</w:t>
            </w:r>
          </w:p>
        </w:tc>
        <w:tc>
          <w:tcPr>
            <w:tcW w:w="3113" w:type="dxa"/>
            <w:vAlign w:val="center"/>
          </w:tcPr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每头份牛颈部皮下注射2次，每次4ml，间隔21d,6月龄以下犊牛，注射量减半</w:t>
            </w:r>
          </w:p>
        </w:tc>
        <w:tc>
          <w:tcPr>
            <w:tcW w:w="1850" w:type="dxa"/>
            <w:vAlign w:val="center"/>
          </w:tcPr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免疫期6个月</w:t>
            </w:r>
          </w:p>
        </w:tc>
      </w:tr>
      <w:tr w:rsidR="00CA6095">
        <w:trPr>
          <w:trHeight w:val="476"/>
        </w:trPr>
        <w:tc>
          <w:tcPr>
            <w:tcW w:w="917" w:type="dxa"/>
            <w:vMerge w:val="restart"/>
            <w:vAlign w:val="center"/>
          </w:tcPr>
          <w:p w:rsidR="00CA6095" w:rsidRDefault="00E874A6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12月龄</w:t>
            </w:r>
          </w:p>
        </w:tc>
        <w:tc>
          <w:tcPr>
            <w:tcW w:w="2540" w:type="dxa"/>
            <w:vAlign w:val="center"/>
          </w:tcPr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猪种布鲁氏菌2号弱毒苗</w:t>
            </w:r>
          </w:p>
        </w:tc>
        <w:tc>
          <w:tcPr>
            <w:tcW w:w="3113" w:type="dxa"/>
            <w:vAlign w:val="center"/>
          </w:tcPr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皮下或肌肉注射500亿活菌</w:t>
            </w:r>
          </w:p>
        </w:tc>
        <w:tc>
          <w:tcPr>
            <w:tcW w:w="1850" w:type="dxa"/>
            <w:vAlign w:val="center"/>
          </w:tcPr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免疫期12个月</w:t>
            </w:r>
          </w:p>
        </w:tc>
      </w:tr>
      <w:tr w:rsidR="00CA6095">
        <w:trPr>
          <w:trHeight w:val="476"/>
        </w:trPr>
        <w:tc>
          <w:tcPr>
            <w:tcW w:w="917" w:type="dxa"/>
            <w:vMerge/>
            <w:vAlign w:val="center"/>
          </w:tcPr>
          <w:p w:rsidR="00CA6095" w:rsidRDefault="00CA6095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2540" w:type="dxa"/>
            <w:vAlign w:val="center"/>
          </w:tcPr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牛传染性鼻气管炎灭活苗</w:t>
            </w:r>
          </w:p>
        </w:tc>
        <w:tc>
          <w:tcPr>
            <w:tcW w:w="3113" w:type="dxa"/>
            <w:vAlign w:val="center"/>
          </w:tcPr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皮下注射10ml</w:t>
            </w:r>
          </w:p>
        </w:tc>
        <w:tc>
          <w:tcPr>
            <w:tcW w:w="1850" w:type="dxa"/>
            <w:vAlign w:val="center"/>
          </w:tcPr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免疫期6个月</w:t>
            </w:r>
          </w:p>
        </w:tc>
      </w:tr>
      <w:tr w:rsidR="00CA6095">
        <w:trPr>
          <w:trHeight w:val="476"/>
        </w:trPr>
        <w:tc>
          <w:tcPr>
            <w:tcW w:w="917" w:type="dxa"/>
            <w:vMerge/>
            <w:vAlign w:val="center"/>
          </w:tcPr>
          <w:p w:rsidR="00CA6095" w:rsidRDefault="00CA6095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2540" w:type="dxa"/>
            <w:vAlign w:val="center"/>
          </w:tcPr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魏氏梭菌灭活苗</w:t>
            </w:r>
          </w:p>
        </w:tc>
        <w:tc>
          <w:tcPr>
            <w:tcW w:w="3113" w:type="dxa"/>
            <w:vAlign w:val="center"/>
          </w:tcPr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皮下注射5ml</w:t>
            </w:r>
          </w:p>
        </w:tc>
        <w:tc>
          <w:tcPr>
            <w:tcW w:w="1850" w:type="dxa"/>
            <w:vAlign w:val="center"/>
          </w:tcPr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免疫期6个月</w:t>
            </w:r>
          </w:p>
        </w:tc>
      </w:tr>
      <w:tr w:rsidR="00CA6095">
        <w:trPr>
          <w:trHeight w:val="476"/>
        </w:trPr>
        <w:tc>
          <w:tcPr>
            <w:tcW w:w="917" w:type="dxa"/>
            <w:vMerge w:val="restart"/>
            <w:vAlign w:val="center"/>
          </w:tcPr>
          <w:p w:rsidR="00CA6095" w:rsidRDefault="00E874A6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妊娠母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lastRenderedPageBreak/>
              <w:t>牛</w:t>
            </w:r>
          </w:p>
        </w:tc>
        <w:tc>
          <w:tcPr>
            <w:tcW w:w="2540" w:type="dxa"/>
            <w:vAlign w:val="center"/>
          </w:tcPr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lastRenderedPageBreak/>
              <w:t>犊牛副伤寒苗</w:t>
            </w:r>
          </w:p>
        </w:tc>
        <w:tc>
          <w:tcPr>
            <w:tcW w:w="3113" w:type="dxa"/>
            <w:vAlign w:val="center"/>
          </w:tcPr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根据说明书使用</w:t>
            </w:r>
          </w:p>
        </w:tc>
        <w:tc>
          <w:tcPr>
            <w:tcW w:w="1850" w:type="dxa"/>
            <w:vAlign w:val="center"/>
          </w:tcPr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分娩前4周注射</w:t>
            </w:r>
          </w:p>
        </w:tc>
      </w:tr>
      <w:tr w:rsidR="00CA6095">
        <w:trPr>
          <w:trHeight w:val="476"/>
        </w:trPr>
        <w:tc>
          <w:tcPr>
            <w:tcW w:w="917" w:type="dxa"/>
            <w:vMerge/>
          </w:tcPr>
          <w:p w:rsidR="00CA6095" w:rsidRDefault="00CA6095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2540" w:type="dxa"/>
            <w:vAlign w:val="center"/>
          </w:tcPr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犊牛大肠杆菌苗</w:t>
            </w:r>
          </w:p>
        </w:tc>
        <w:tc>
          <w:tcPr>
            <w:tcW w:w="3113" w:type="dxa"/>
            <w:vAlign w:val="center"/>
          </w:tcPr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根据说明书使用</w:t>
            </w:r>
          </w:p>
        </w:tc>
        <w:tc>
          <w:tcPr>
            <w:tcW w:w="1850" w:type="dxa"/>
            <w:vAlign w:val="center"/>
          </w:tcPr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分娩前2-4周注射</w:t>
            </w:r>
          </w:p>
        </w:tc>
      </w:tr>
      <w:tr w:rsidR="00CA6095">
        <w:trPr>
          <w:trHeight w:val="476"/>
        </w:trPr>
        <w:tc>
          <w:tcPr>
            <w:tcW w:w="917" w:type="dxa"/>
            <w:vMerge/>
          </w:tcPr>
          <w:p w:rsidR="00CA6095" w:rsidRDefault="00CA6095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2540" w:type="dxa"/>
            <w:vAlign w:val="center"/>
          </w:tcPr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牛传染性鼻气管苗</w:t>
            </w:r>
          </w:p>
        </w:tc>
        <w:tc>
          <w:tcPr>
            <w:tcW w:w="3113" w:type="dxa"/>
            <w:vAlign w:val="center"/>
          </w:tcPr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根据说明书使用</w:t>
            </w:r>
          </w:p>
        </w:tc>
        <w:tc>
          <w:tcPr>
            <w:tcW w:w="1850" w:type="dxa"/>
            <w:vAlign w:val="center"/>
          </w:tcPr>
          <w:p w:rsidR="00CA6095" w:rsidRDefault="00E874A6">
            <w:pPr>
              <w:widowControl/>
              <w:spacing w:line="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分娩前8周注射</w:t>
            </w:r>
          </w:p>
        </w:tc>
      </w:tr>
    </w:tbl>
    <w:p w:rsidR="00CA6095" w:rsidRDefault="00CA6095">
      <w:pPr>
        <w:widowControl/>
        <w:jc w:val="left"/>
        <w:rPr>
          <w:rFonts w:ascii="黑体" w:eastAsia="黑体" w:hAnsi="黑体" w:cs="黑体"/>
          <w:kern w:val="0"/>
          <w:szCs w:val="21"/>
        </w:rPr>
      </w:pPr>
    </w:p>
    <w:p w:rsidR="00CA6095" w:rsidRDefault="00E874A6">
      <w:pPr>
        <w:widowControl/>
        <w:jc w:val="center"/>
        <w:rPr>
          <w:rFonts w:ascii="黑体" w:eastAsia="黑体" w:hAnsi="黑体" w:cs="黑体"/>
          <w:kern w:val="0"/>
          <w:szCs w:val="21"/>
        </w:rPr>
      </w:pPr>
      <w:r>
        <w:rPr>
          <w:rFonts w:ascii="黑体" w:eastAsia="黑体" w:hAnsi="黑体" w:cs="黑体" w:hint="eastAsia"/>
          <w:kern w:val="0"/>
          <w:szCs w:val="21"/>
        </w:rPr>
        <w:t>附 录 C</w:t>
      </w:r>
    </w:p>
    <w:p w:rsidR="00CA6095" w:rsidRDefault="00E874A6">
      <w:pPr>
        <w:spacing w:line="400" w:lineRule="atLeast"/>
        <w:contextualSpacing/>
        <w:jc w:val="center"/>
        <w:rPr>
          <w:rFonts w:ascii="黑体" w:eastAsia="黑体" w:hAnsi="黑体" w:cs="黑体"/>
          <w:kern w:val="0"/>
          <w:szCs w:val="21"/>
        </w:rPr>
      </w:pPr>
      <w:r>
        <w:rPr>
          <w:rFonts w:ascii="黑体" w:eastAsia="黑体" w:hAnsi="黑体" w:cs="黑体" w:hint="eastAsia"/>
          <w:kern w:val="0"/>
          <w:szCs w:val="21"/>
        </w:rPr>
        <w:t>（规范性附录）</w:t>
      </w:r>
    </w:p>
    <w:p w:rsidR="00CA6095" w:rsidRDefault="00E874A6">
      <w:pPr>
        <w:widowControl/>
        <w:jc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hint="eastAsia"/>
          <w:kern w:val="0"/>
          <w:sz w:val="24"/>
          <w:szCs w:val="24"/>
        </w:rPr>
        <w:t>北方农牧交错带</w:t>
      </w:r>
      <w:r>
        <w:rPr>
          <w:rFonts w:ascii="黑体" w:eastAsia="黑体" w:hAnsi="黑体" w:cs="黑体" w:hint="eastAsia"/>
          <w:szCs w:val="21"/>
        </w:rPr>
        <w:t>绿色食品肉牛不应患病种类名录</w:t>
      </w:r>
    </w:p>
    <w:p w:rsidR="00CA6095" w:rsidRDefault="00CA6095">
      <w:pPr>
        <w:widowControl/>
        <w:jc w:val="center"/>
        <w:rPr>
          <w:rFonts w:ascii="Times New Roman" w:hAnsi="Times New Roman" w:cs="Times New Roman"/>
        </w:rPr>
      </w:pPr>
    </w:p>
    <w:p w:rsidR="00CA6095" w:rsidRDefault="00E874A6">
      <w:pPr>
        <w:widowControl/>
        <w:jc w:val="lef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C.1 人畜共患病</w:t>
      </w:r>
    </w:p>
    <w:p w:rsidR="00CA6095" w:rsidRDefault="00E874A6">
      <w:pPr>
        <w:widowControl/>
        <w:ind w:firstLine="405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口蹄疫、结核病、布鲁氏菌病、炭疽、狂犬病</w:t>
      </w:r>
    </w:p>
    <w:p w:rsidR="00CA6095" w:rsidRDefault="00E874A6">
      <w:pPr>
        <w:widowControl/>
        <w:jc w:val="lef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C.2 其他不应患病种类</w:t>
      </w:r>
    </w:p>
    <w:p w:rsidR="00CA6095" w:rsidRDefault="00E874A6">
      <w:pPr>
        <w:widowControl/>
        <w:ind w:firstLine="42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牛瘟、牛传染性胸膜肺炎、牛海绵状脑病、日本血吸虫病</w:t>
      </w:r>
    </w:p>
    <w:p w:rsidR="00CA6095" w:rsidRDefault="00CA6095">
      <w:pPr>
        <w:widowControl/>
        <w:jc w:val="left"/>
        <w:rPr>
          <w:rFonts w:ascii="Times New Roman" w:hAnsi="Times New Roman" w:cs="Times New Roman"/>
        </w:rPr>
      </w:pPr>
    </w:p>
    <w:sectPr w:rsidR="00CA6095" w:rsidSect="00CA6095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BCA" w:rsidRDefault="00BB7BCA" w:rsidP="00CA6095">
      <w:r>
        <w:separator/>
      </w:r>
    </w:p>
  </w:endnote>
  <w:endnote w:type="continuationSeparator" w:id="1">
    <w:p w:rsidR="00BB7BCA" w:rsidRDefault="00BB7BCA" w:rsidP="00CA60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???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095" w:rsidRDefault="00CA6095">
    <w:pPr>
      <w:pStyle w:val="a6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095" w:rsidRDefault="00CA609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BCA" w:rsidRDefault="00BB7BCA" w:rsidP="00CA6095">
      <w:r>
        <w:separator/>
      </w:r>
    </w:p>
  </w:footnote>
  <w:footnote w:type="continuationSeparator" w:id="1">
    <w:p w:rsidR="00BB7BCA" w:rsidRDefault="00BB7BCA" w:rsidP="00CA60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819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AE6ED0"/>
    <w:rsid w:val="00016BB3"/>
    <w:rsid w:val="00022A69"/>
    <w:rsid w:val="0003396D"/>
    <w:rsid w:val="00042171"/>
    <w:rsid w:val="000C7CBF"/>
    <w:rsid w:val="000D7AA8"/>
    <w:rsid w:val="001173AF"/>
    <w:rsid w:val="00122283"/>
    <w:rsid w:val="001256A7"/>
    <w:rsid w:val="001368E4"/>
    <w:rsid w:val="0015146F"/>
    <w:rsid w:val="0017729D"/>
    <w:rsid w:val="00195F91"/>
    <w:rsid w:val="001B1028"/>
    <w:rsid w:val="001C7F38"/>
    <w:rsid w:val="001F4892"/>
    <w:rsid w:val="002B0534"/>
    <w:rsid w:val="002B3701"/>
    <w:rsid w:val="002D1F17"/>
    <w:rsid w:val="002D4AC6"/>
    <w:rsid w:val="002D7924"/>
    <w:rsid w:val="002E62A7"/>
    <w:rsid w:val="002E73CA"/>
    <w:rsid w:val="003261D4"/>
    <w:rsid w:val="00352148"/>
    <w:rsid w:val="00352BA6"/>
    <w:rsid w:val="00354FD0"/>
    <w:rsid w:val="003575B2"/>
    <w:rsid w:val="003736A7"/>
    <w:rsid w:val="003748AF"/>
    <w:rsid w:val="003971DF"/>
    <w:rsid w:val="003A16F6"/>
    <w:rsid w:val="003A1E92"/>
    <w:rsid w:val="003B0C76"/>
    <w:rsid w:val="003D62D8"/>
    <w:rsid w:val="003E0782"/>
    <w:rsid w:val="0040235B"/>
    <w:rsid w:val="00413B92"/>
    <w:rsid w:val="00422E28"/>
    <w:rsid w:val="00426EFF"/>
    <w:rsid w:val="0044214E"/>
    <w:rsid w:val="004A6737"/>
    <w:rsid w:val="004C0F5F"/>
    <w:rsid w:val="00543FEE"/>
    <w:rsid w:val="00545665"/>
    <w:rsid w:val="00555536"/>
    <w:rsid w:val="00560CC0"/>
    <w:rsid w:val="005725CF"/>
    <w:rsid w:val="00597100"/>
    <w:rsid w:val="005B3114"/>
    <w:rsid w:val="005D41C9"/>
    <w:rsid w:val="005F7268"/>
    <w:rsid w:val="00604543"/>
    <w:rsid w:val="0064209C"/>
    <w:rsid w:val="006454FA"/>
    <w:rsid w:val="00650314"/>
    <w:rsid w:val="00667894"/>
    <w:rsid w:val="00671506"/>
    <w:rsid w:val="0067655B"/>
    <w:rsid w:val="006A00AA"/>
    <w:rsid w:val="006A245C"/>
    <w:rsid w:val="006B18BE"/>
    <w:rsid w:val="006B6890"/>
    <w:rsid w:val="006C46A7"/>
    <w:rsid w:val="006D1450"/>
    <w:rsid w:val="006E580A"/>
    <w:rsid w:val="006E6F55"/>
    <w:rsid w:val="007102E6"/>
    <w:rsid w:val="00711695"/>
    <w:rsid w:val="00725FA3"/>
    <w:rsid w:val="00726E6C"/>
    <w:rsid w:val="00730AFB"/>
    <w:rsid w:val="00757F15"/>
    <w:rsid w:val="007638F1"/>
    <w:rsid w:val="00765929"/>
    <w:rsid w:val="00777100"/>
    <w:rsid w:val="007A1A7B"/>
    <w:rsid w:val="007A7B7A"/>
    <w:rsid w:val="007E7F99"/>
    <w:rsid w:val="00801FEE"/>
    <w:rsid w:val="00806966"/>
    <w:rsid w:val="00872152"/>
    <w:rsid w:val="0088153C"/>
    <w:rsid w:val="008A017D"/>
    <w:rsid w:val="008A6001"/>
    <w:rsid w:val="00910239"/>
    <w:rsid w:val="00936EAF"/>
    <w:rsid w:val="00942450"/>
    <w:rsid w:val="00965FF4"/>
    <w:rsid w:val="00982B6D"/>
    <w:rsid w:val="009A45AC"/>
    <w:rsid w:val="009B5859"/>
    <w:rsid w:val="009C7A86"/>
    <w:rsid w:val="009D7E6A"/>
    <w:rsid w:val="009F7F08"/>
    <w:rsid w:val="00A1501E"/>
    <w:rsid w:val="00A86410"/>
    <w:rsid w:val="00A95880"/>
    <w:rsid w:val="00AC3B33"/>
    <w:rsid w:val="00AC68B0"/>
    <w:rsid w:val="00AD6D9C"/>
    <w:rsid w:val="00AE6ED0"/>
    <w:rsid w:val="00B10690"/>
    <w:rsid w:val="00B41EC3"/>
    <w:rsid w:val="00B95A0D"/>
    <w:rsid w:val="00BA2123"/>
    <w:rsid w:val="00BA5B67"/>
    <w:rsid w:val="00BB7BCA"/>
    <w:rsid w:val="00BD513E"/>
    <w:rsid w:val="00BF2019"/>
    <w:rsid w:val="00C1169E"/>
    <w:rsid w:val="00C14DB5"/>
    <w:rsid w:val="00C36749"/>
    <w:rsid w:val="00C5375F"/>
    <w:rsid w:val="00C91BD1"/>
    <w:rsid w:val="00CA6095"/>
    <w:rsid w:val="00CC148A"/>
    <w:rsid w:val="00CC33DD"/>
    <w:rsid w:val="00CE2288"/>
    <w:rsid w:val="00CF3111"/>
    <w:rsid w:val="00D16F34"/>
    <w:rsid w:val="00D35159"/>
    <w:rsid w:val="00D45362"/>
    <w:rsid w:val="00D56F7F"/>
    <w:rsid w:val="00D61776"/>
    <w:rsid w:val="00D83E2D"/>
    <w:rsid w:val="00D84BA7"/>
    <w:rsid w:val="00D90FB8"/>
    <w:rsid w:val="00D93961"/>
    <w:rsid w:val="00D945AB"/>
    <w:rsid w:val="00D97ED2"/>
    <w:rsid w:val="00DC47AD"/>
    <w:rsid w:val="00DC705F"/>
    <w:rsid w:val="00DE344D"/>
    <w:rsid w:val="00DE3467"/>
    <w:rsid w:val="00DE5ACF"/>
    <w:rsid w:val="00E010E9"/>
    <w:rsid w:val="00E2487C"/>
    <w:rsid w:val="00E5540F"/>
    <w:rsid w:val="00E55AD0"/>
    <w:rsid w:val="00E8081B"/>
    <w:rsid w:val="00E86381"/>
    <w:rsid w:val="00E874A6"/>
    <w:rsid w:val="00EA03FA"/>
    <w:rsid w:val="00EA1F03"/>
    <w:rsid w:val="00EA1FDC"/>
    <w:rsid w:val="00ED5E9E"/>
    <w:rsid w:val="00F04CFD"/>
    <w:rsid w:val="00F13083"/>
    <w:rsid w:val="00F13535"/>
    <w:rsid w:val="00F24C08"/>
    <w:rsid w:val="00F24EEA"/>
    <w:rsid w:val="00F2570C"/>
    <w:rsid w:val="00F46211"/>
    <w:rsid w:val="00F47FB9"/>
    <w:rsid w:val="00F94513"/>
    <w:rsid w:val="00FA629B"/>
    <w:rsid w:val="00FA6600"/>
    <w:rsid w:val="00FD28CD"/>
    <w:rsid w:val="00FE5FA5"/>
    <w:rsid w:val="00FF2927"/>
    <w:rsid w:val="00FF36D6"/>
    <w:rsid w:val="03051FB6"/>
    <w:rsid w:val="04016DAF"/>
    <w:rsid w:val="04DB7B30"/>
    <w:rsid w:val="06DF0F7A"/>
    <w:rsid w:val="07375DEB"/>
    <w:rsid w:val="07D5195C"/>
    <w:rsid w:val="084340CA"/>
    <w:rsid w:val="08C95510"/>
    <w:rsid w:val="09233E53"/>
    <w:rsid w:val="0A776947"/>
    <w:rsid w:val="0DB344BD"/>
    <w:rsid w:val="0FA52ED4"/>
    <w:rsid w:val="12F70EC1"/>
    <w:rsid w:val="13F95645"/>
    <w:rsid w:val="156A742A"/>
    <w:rsid w:val="16D31CEA"/>
    <w:rsid w:val="193C7807"/>
    <w:rsid w:val="19766327"/>
    <w:rsid w:val="197A61AD"/>
    <w:rsid w:val="1CB46D34"/>
    <w:rsid w:val="1D6C7A04"/>
    <w:rsid w:val="1F066436"/>
    <w:rsid w:val="1F105478"/>
    <w:rsid w:val="1F9D5C2E"/>
    <w:rsid w:val="1FA42419"/>
    <w:rsid w:val="20E90BC6"/>
    <w:rsid w:val="215200D7"/>
    <w:rsid w:val="21527E9F"/>
    <w:rsid w:val="22BE5452"/>
    <w:rsid w:val="283E02C4"/>
    <w:rsid w:val="292C4485"/>
    <w:rsid w:val="29D73BBB"/>
    <w:rsid w:val="2AA421C9"/>
    <w:rsid w:val="2C4F395D"/>
    <w:rsid w:val="2CD726E6"/>
    <w:rsid w:val="2E111708"/>
    <w:rsid w:val="2F7F1A8F"/>
    <w:rsid w:val="2F8F4C42"/>
    <w:rsid w:val="302827CE"/>
    <w:rsid w:val="31341E87"/>
    <w:rsid w:val="32045AA1"/>
    <w:rsid w:val="350F51BB"/>
    <w:rsid w:val="380B36F2"/>
    <w:rsid w:val="3B703CFF"/>
    <w:rsid w:val="3C0B1F75"/>
    <w:rsid w:val="3C99100B"/>
    <w:rsid w:val="3D1D40D2"/>
    <w:rsid w:val="3E02206D"/>
    <w:rsid w:val="3FD23FC2"/>
    <w:rsid w:val="40696CA0"/>
    <w:rsid w:val="41C37A6F"/>
    <w:rsid w:val="422A3137"/>
    <w:rsid w:val="430F670F"/>
    <w:rsid w:val="44755FA9"/>
    <w:rsid w:val="44773D6B"/>
    <w:rsid w:val="44840162"/>
    <w:rsid w:val="476253A5"/>
    <w:rsid w:val="476E5953"/>
    <w:rsid w:val="4796280C"/>
    <w:rsid w:val="47A12886"/>
    <w:rsid w:val="48733237"/>
    <w:rsid w:val="4D36391B"/>
    <w:rsid w:val="4D8F06AD"/>
    <w:rsid w:val="4F0B4050"/>
    <w:rsid w:val="514A1D22"/>
    <w:rsid w:val="52F07199"/>
    <w:rsid w:val="53A62F94"/>
    <w:rsid w:val="560D43CD"/>
    <w:rsid w:val="5997352B"/>
    <w:rsid w:val="5A983841"/>
    <w:rsid w:val="5BC01F6B"/>
    <w:rsid w:val="5BE01BE0"/>
    <w:rsid w:val="5C17498B"/>
    <w:rsid w:val="5CF94EC6"/>
    <w:rsid w:val="5D8974AF"/>
    <w:rsid w:val="5FC54DC5"/>
    <w:rsid w:val="62D55D10"/>
    <w:rsid w:val="63783D75"/>
    <w:rsid w:val="65E95F3A"/>
    <w:rsid w:val="676F5B41"/>
    <w:rsid w:val="680449A1"/>
    <w:rsid w:val="6AC22FC6"/>
    <w:rsid w:val="6AC7603D"/>
    <w:rsid w:val="6AD16357"/>
    <w:rsid w:val="6E3B7B10"/>
    <w:rsid w:val="6F4F6197"/>
    <w:rsid w:val="71333D25"/>
    <w:rsid w:val="71D771BC"/>
    <w:rsid w:val="73760A57"/>
    <w:rsid w:val="78EA09D6"/>
    <w:rsid w:val="793A2944"/>
    <w:rsid w:val="7A07672E"/>
    <w:rsid w:val="7A411536"/>
    <w:rsid w:val="7B0637A2"/>
    <w:rsid w:val="7B81735C"/>
    <w:rsid w:val="7BBE7E92"/>
    <w:rsid w:val="7DCE5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fillcolor="white">
      <v:fill color="white"/>
    </o:shapedefaults>
    <o:shapelayout v:ext="edit">
      <o:idmap v:ext="edit" data="1"/>
      <o:rules v:ext="edit">
        <o:r id="V:Rule3" type="connector" idref="#_x0000_s1026"/>
        <o:r id="V:Rule4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09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rsid w:val="00CA6095"/>
    <w:pPr>
      <w:jc w:val="left"/>
    </w:pPr>
  </w:style>
  <w:style w:type="paragraph" w:styleId="a4">
    <w:name w:val="Date"/>
    <w:basedOn w:val="a"/>
    <w:next w:val="a"/>
    <w:link w:val="Char"/>
    <w:uiPriority w:val="99"/>
    <w:semiHidden/>
    <w:unhideWhenUsed/>
    <w:qFormat/>
    <w:rsid w:val="00CA6095"/>
    <w:pPr>
      <w:ind w:leftChars="2500" w:left="100"/>
    </w:pPr>
  </w:style>
  <w:style w:type="paragraph" w:styleId="a5">
    <w:name w:val="Balloon Text"/>
    <w:basedOn w:val="a"/>
    <w:link w:val="Char0"/>
    <w:uiPriority w:val="99"/>
    <w:semiHidden/>
    <w:unhideWhenUsed/>
    <w:qFormat/>
    <w:rsid w:val="00CA6095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qFormat/>
    <w:rsid w:val="00CA60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rsid w:val="00CA60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uiPriority w:val="59"/>
    <w:qFormat/>
    <w:rsid w:val="00CA60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脚 Char"/>
    <w:basedOn w:val="a0"/>
    <w:link w:val="a6"/>
    <w:uiPriority w:val="99"/>
    <w:qFormat/>
    <w:rsid w:val="00CA6095"/>
    <w:rPr>
      <w:sz w:val="18"/>
      <w:szCs w:val="18"/>
    </w:rPr>
  </w:style>
  <w:style w:type="paragraph" w:customStyle="1" w:styleId="1">
    <w:name w:val="列出段落1"/>
    <w:basedOn w:val="a"/>
    <w:qFormat/>
    <w:rsid w:val="00CA6095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Char2">
    <w:name w:val="页眉 Char"/>
    <w:basedOn w:val="a0"/>
    <w:link w:val="a7"/>
    <w:uiPriority w:val="99"/>
    <w:qFormat/>
    <w:rsid w:val="00CA6095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qFormat/>
    <w:rsid w:val="00CA6095"/>
    <w:rPr>
      <w:sz w:val="18"/>
      <w:szCs w:val="18"/>
    </w:rPr>
  </w:style>
  <w:style w:type="character" w:customStyle="1" w:styleId="Char">
    <w:name w:val="日期 Char"/>
    <w:basedOn w:val="a0"/>
    <w:link w:val="a4"/>
    <w:uiPriority w:val="99"/>
    <w:semiHidden/>
    <w:qFormat/>
    <w:rsid w:val="00CA609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1049</Words>
  <Characters>5984</Characters>
  <Application>Microsoft Office Word</Application>
  <DocSecurity>0</DocSecurity>
  <Lines>49</Lines>
  <Paragraphs>14</Paragraphs>
  <ScaleCrop>false</ScaleCrop>
  <Company/>
  <LinksUpToDate>false</LinksUpToDate>
  <CharactersWithSpaces>7019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10</cp:revision>
  <cp:lastPrinted>2019-11-11T09:15:00Z</cp:lastPrinted>
  <dcterms:created xsi:type="dcterms:W3CDTF">2019-11-11T06:11:00Z</dcterms:created>
  <dcterms:modified xsi:type="dcterms:W3CDTF">2020-11-05T07:43:00Z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