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72235">
      <w:pPr>
        <w:pStyle w:val="29"/>
        <w:spacing w:before="156" w:beforeLines="50" w:after="156" w:afterLines="50" w:line="400" w:lineRule="atLeast"/>
        <w:ind w:left="357" w:firstLine="0" w:firstLineChars="0"/>
        <w:jc w:val="distribute"/>
        <w:rPr>
          <w:rFonts w:hint="eastAsia" w:ascii="黑体" w:hAnsi="黑体" w:eastAsia="黑体" w:cs="黑体"/>
          <w:sz w:val="48"/>
          <w:szCs w:val="48"/>
        </w:rPr>
      </w:pPr>
    </w:p>
    <w:p w14:paraId="7D15606F">
      <w:pPr>
        <w:pStyle w:val="29"/>
        <w:spacing w:before="156" w:beforeLines="50" w:after="156" w:afterLines="50" w:line="400" w:lineRule="atLeast"/>
        <w:ind w:left="357" w:firstLine="0" w:firstLineChars="0"/>
        <w:jc w:val="distribute"/>
        <w:rPr>
          <w:rFonts w:ascii="黑体" w:hAnsi="黑体" w:eastAsia="黑体"/>
          <w:sz w:val="48"/>
          <w:szCs w:val="48"/>
        </w:rPr>
      </w:pPr>
      <w:r>
        <w:rPr>
          <w:rFonts w:hint="eastAsia" w:ascii="黑体" w:hAnsi="黑体" w:eastAsia="黑体" w:cs="黑体"/>
          <w:sz w:val="48"/>
          <w:szCs w:val="48"/>
        </w:rPr>
        <w:t>绿色食品生产操作规程</w:t>
      </w:r>
    </w:p>
    <w:p w14:paraId="29FF1E48">
      <w:pPr>
        <w:pStyle w:val="29"/>
        <w:wordWrap w:val="0"/>
        <w:spacing w:before="156" w:beforeLines="50" w:after="156" w:afterLines="50" w:line="400" w:lineRule="atLeast"/>
        <w:ind w:left="357" w:firstLine="0" w:firstLineChars="0"/>
        <w:jc w:val="right"/>
        <w:rPr>
          <w:rFonts w:ascii="黑体" w:hAnsi="黑体" w:eastAsia="黑体" w:cs="黑体"/>
          <w:sz w:val="28"/>
          <w:szCs w:val="28"/>
        </w:rPr>
      </w:pPr>
      <w:r>
        <w:rPr>
          <w:rFonts w:eastAsia="黑体"/>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396240</wp:posOffset>
                </wp:positionV>
                <wp:extent cx="5806440" cy="0"/>
                <wp:effectExtent l="0" t="0" r="22860" b="19050"/>
                <wp:wrapNone/>
                <wp:docPr id="2" name="自选图形 2"/>
                <wp:cNvGraphicFramePr/>
                <a:graphic xmlns:a="http://schemas.openxmlformats.org/drawingml/2006/main">
                  <a:graphicData uri="http://schemas.microsoft.com/office/word/2010/wordprocessingShape">
                    <wps:wsp>
                      <wps:cNvCnPr/>
                      <wps:spPr>
                        <a:xfrm>
                          <a:off x="0" y="0"/>
                          <a:ext cx="580644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margin-left:12.6pt;margin-top:31.2pt;height:0pt;width:457.2pt;z-index:251660288;mso-width-relative:page;mso-height-relative:page;" filled="f" stroked="t" coordsize="21600,21600" o:gfxdata="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iWHZDXAAAACAEAAA8AAAAAAAAAAQAgAAAAIgAAAGRycy9kb3ducmV2Lnht&#10;bFBLAQIUABQAAAAIAIdO4kBk3ojJ+gEAAPEDAAAOAAAAAAAAAAEAIAAAACYBAABkcnMvZTJvRG9j&#10;LnhtbFBLBQYAAAAABgAGAFkBAACSBQAAAAA=&#10;">
                <v:fill on="f" focussize="0,0"/>
                <v:stroke color="#000000" joinstyle="round"/>
                <v:imagedata o:title=""/>
                <o:lock v:ext="edit" aspectratio="f"/>
              </v:shape>
            </w:pict>
          </mc:Fallback>
        </mc:AlternateContent>
      </w:r>
      <w:r>
        <w:rPr>
          <w:rFonts w:eastAsia="黑体"/>
          <w:sz w:val="28"/>
          <w:szCs w:val="28"/>
        </w:rPr>
        <w:t>LB/T</w:t>
      </w:r>
      <w:r>
        <w:rPr>
          <w:rFonts w:ascii="黑体" w:hAnsi="黑体" w:eastAsia="黑体" w:cs="黑体"/>
          <w:sz w:val="28"/>
          <w:szCs w:val="28"/>
        </w:rPr>
        <w:t xml:space="preserve"> </w:t>
      </w:r>
      <w:r>
        <w:rPr>
          <w:rFonts w:hint="eastAsia" w:ascii="黑体" w:hAnsi="黑体" w:eastAsia="黑体" w:cs="宋体"/>
          <w:sz w:val="28"/>
          <w:szCs w:val="28"/>
        </w:rPr>
        <w:t>347</w:t>
      </w:r>
      <w:r>
        <w:rPr>
          <w:rFonts w:ascii="黑体" w:hAnsi="黑体" w:eastAsia="黑体" w:cs="宋体"/>
          <w:sz w:val="28"/>
          <w:szCs w:val="28"/>
        </w:rPr>
        <w:t>-2025</w:t>
      </w:r>
    </w:p>
    <w:p w14:paraId="267FD9E0">
      <w:pPr>
        <w:pStyle w:val="29"/>
        <w:spacing w:before="156" w:beforeLines="50" w:after="156" w:afterLines="50" w:line="400" w:lineRule="atLeast"/>
        <w:ind w:left="357" w:firstLine="0" w:firstLineChars="0"/>
        <w:jc w:val="center"/>
        <w:rPr>
          <w:rFonts w:ascii="黑体" w:hAnsi="黑体" w:eastAsia="黑体"/>
          <w:sz w:val="32"/>
          <w:szCs w:val="32"/>
        </w:rPr>
      </w:pPr>
    </w:p>
    <w:p w14:paraId="6D543649">
      <w:pPr>
        <w:pStyle w:val="29"/>
        <w:spacing w:before="156" w:beforeLines="50" w:after="156" w:afterLines="50" w:line="400" w:lineRule="atLeast"/>
        <w:ind w:firstLine="0" w:firstLineChars="0"/>
        <w:rPr>
          <w:rFonts w:ascii="黑体" w:hAnsi="黑体" w:eastAsia="黑体"/>
          <w:sz w:val="32"/>
          <w:szCs w:val="32"/>
        </w:rPr>
      </w:pPr>
    </w:p>
    <w:p w14:paraId="043D6047">
      <w:pPr>
        <w:pStyle w:val="29"/>
        <w:spacing w:before="156" w:beforeLines="50" w:after="156" w:afterLines="50" w:line="400" w:lineRule="atLeast"/>
        <w:ind w:firstLine="0" w:firstLineChars="0"/>
        <w:rPr>
          <w:rFonts w:ascii="黑体" w:hAnsi="黑体" w:eastAsia="黑体"/>
          <w:sz w:val="32"/>
          <w:szCs w:val="32"/>
        </w:rPr>
      </w:pPr>
    </w:p>
    <w:p w14:paraId="062005D1">
      <w:pPr>
        <w:pStyle w:val="29"/>
        <w:spacing w:before="156" w:beforeLines="50" w:after="156" w:afterLines="50" w:line="400" w:lineRule="atLeast"/>
        <w:ind w:firstLine="0" w:firstLineChars="0"/>
        <w:rPr>
          <w:rFonts w:ascii="黑体" w:hAnsi="黑体" w:eastAsia="黑体"/>
          <w:sz w:val="32"/>
          <w:szCs w:val="32"/>
        </w:rPr>
      </w:pPr>
    </w:p>
    <w:p w14:paraId="71F85AB0">
      <w:pPr>
        <w:pStyle w:val="29"/>
        <w:spacing w:before="156" w:beforeLines="50" w:after="156" w:afterLines="50" w:line="400" w:lineRule="atLeast"/>
        <w:ind w:firstLine="0" w:firstLineChars="0"/>
        <w:jc w:val="center"/>
        <w:rPr>
          <w:rFonts w:ascii="黑体" w:hAnsi="黑体" w:eastAsia="黑体" w:cs="黑体"/>
          <w:sz w:val="48"/>
          <w:szCs w:val="48"/>
        </w:rPr>
      </w:pPr>
      <w:r>
        <w:rPr>
          <w:rFonts w:hint="eastAsia" w:ascii="黑体" w:hAnsi="黑体" w:eastAsia="黑体" w:cs="黑体"/>
          <w:sz w:val="48"/>
          <w:szCs w:val="48"/>
        </w:rPr>
        <w:t>北方地区</w:t>
      </w:r>
    </w:p>
    <w:p w14:paraId="0374AA38">
      <w:pPr>
        <w:pStyle w:val="29"/>
        <w:spacing w:before="156" w:beforeLines="50" w:after="156" w:afterLines="50" w:line="400" w:lineRule="atLeast"/>
        <w:ind w:firstLine="0" w:firstLineChars="0"/>
        <w:jc w:val="center"/>
        <w:rPr>
          <w:rFonts w:ascii="黑体" w:hAnsi="黑体" w:eastAsia="黑体"/>
          <w:sz w:val="32"/>
          <w:szCs w:val="32"/>
        </w:rPr>
      </w:pPr>
      <w:r>
        <w:rPr>
          <w:rFonts w:hint="eastAsia" w:ascii="黑体" w:hAnsi="黑体" w:eastAsia="黑体" w:cs="黑体"/>
          <w:sz w:val="48"/>
          <w:szCs w:val="48"/>
        </w:rPr>
        <w:t>绿色食品设施秋葵生产操作规程</w:t>
      </w:r>
    </w:p>
    <w:p w14:paraId="03D37828">
      <w:pPr>
        <w:pStyle w:val="29"/>
        <w:spacing w:before="156" w:beforeLines="50" w:after="156" w:afterLines="50" w:line="400" w:lineRule="atLeast"/>
        <w:ind w:left="357" w:firstLine="0" w:firstLineChars="0"/>
        <w:jc w:val="center"/>
        <w:rPr>
          <w:rFonts w:ascii="黑体" w:hAnsi="黑体" w:eastAsia="黑体"/>
          <w:sz w:val="32"/>
          <w:szCs w:val="32"/>
        </w:rPr>
      </w:pPr>
    </w:p>
    <w:p w14:paraId="57D3C184">
      <w:pPr>
        <w:pStyle w:val="29"/>
        <w:spacing w:before="156" w:beforeLines="50" w:after="156" w:afterLines="50" w:line="400" w:lineRule="atLeast"/>
        <w:ind w:firstLine="0" w:firstLineChars="0"/>
        <w:rPr>
          <w:rFonts w:ascii="黑体" w:hAnsi="黑体" w:eastAsia="黑体"/>
          <w:sz w:val="32"/>
          <w:szCs w:val="32"/>
        </w:rPr>
      </w:pPr>
    </w:p>
    <w:p w14:paraId="2FF55868">
      <w:pPr>
        <w:pStyle w:val="29"/>
        <w:spacing w:before="156" w:beforeLines="50" w:after="156" w:afterLines="50" w:line="400" w:lineRule="atLeast"/>
        <w:ind w:left="357" w:firstLine="0" w:firstLineChars="0"/>
        <w:jc w:val="center"/>
        <w:rPr>
          <w:rFonts w:ascii="黑体" w:hAnsi="黑体" w:eastAsia="黑体"/>
          <w:sz w:val="32"/>
          <w:szCs w:val="32"/>
        </w:rPr>
      </w:pPr>
    </w:p>
    <w:p w14:paraId="280C6167">
      <w:pPr>
        <w:pStyle w:val="29"/>
        <w:spacing w:before="156" w:beforeLines="50" w:after="156" w:afterLines="50" w:line="400" w:lineRule="atLeast"/>
        <w:ind w:left="357" w:firstLine="0" w:firstLineChars="0"/>
        <w:jc w:val="center"/>
        <w:rPr>
          <w:rFonts w:ascii="黑体" w:hAnsi="黑体" w:eastAsia="黑体"/>
          <w:sz w:val="32"/>
          <w:szCs w:val="32"/>
        </w:rPr>
      </w:pPr>
    </w:p>
    <w:p w14:paraId="7404F374">
      <w:pPr>
        <w:pStyle w:val="29"/>
        <w:spacing w:before="156" w:beforeLines="50" w:after="156" w:afterLines="50" w:line="400" w:lineRule="atLeast"/>
        <w:ind w:left="357" w:firstLine="0" w:firstLineChars="0"/>
        <w:jc w:val="center"/>
        <w:rPr>
          <w:rFonts w:ascii="黑体" w:hAnsi="黑体" w:eastAsia="黑体"/>
          <w:sz w:val="32"/>
          <w:szCs w:val="32"/>
        </w:rPr>
      </w:pPr>
    </w:p>
    <w:p w14:paraId="1340B5AF">
      <w:pPr>
        <w:pStyle w:val="29"/>
        <w:spacing w:before="156" w:beforeLines="50" w:after="156" w:afterLines="50" w:line="400" w:lineRule="atLeast"/>
        <w:ind w:firstLine="0" w:firstLineChars="0"/>
        <w:rPr>
          <w:rFonts w:ascii="黑体" w:hAnsi="黑体" w:eastAsia="黑体"/>
          <w:sz w:val="32"/>
          <w:szCs w:val="32"/>
        </w:rPr>
      </w:pPr>
      <w:bookmarkStart w:id="7" w:name="_GoBack"/>
      <w:bookmarkEnd w:id="7"/>
    </w:p>
    <w:p w14:paraId="41345E9B">
      <w:pPr>
        <w:pStyle w:val="29"/>
        <w:spacing w:before="156" w:beforeLines="50" w:after="156" w:afterLines="50" w:line="400" w:lineRule="atLeast"/>
        <w:ind w:firstLine="0" w:firstLineChars="0"/>
        <w:jc w:val="center"/>
        <w:rPr>
          <w:rFonts w:ascii="黑体" w:hAnsi="黑体" w:eastAsia="黑体" w:cs="宋体"/>
          <w:sz w:val="28"/>
          <w:szCs w:val="28"/>
        </w:rPr>
      </w:pPr>
    </w:p>
    <w:p w14:paraId="6759FF5B">
      <w:pPr>
        <w:pStyle w:val="29"/>
        <w:spacing w:before="156" w:beforeLines="50" w:after="156" w:afterLines="50" w:line="400" w:lineRule="atLeast"/>
        <w:ind w:firstLine="0" w:firstLineChars="0"/>
        <w:jc w:val="center"/>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发布</w:t>
      </w:r>
      <w:r>
        <w:rPr>
          <w:rFonts w:ascii="黑体" w:hAnsi="黑体" w:eastAsia="黑体" w:cs="宋体"/>
          <w:sz w:val="28"/>
          <w:szCs w:val="28"/>
        </w:rPr>
        <w:t xml:space="preserve">            </w:t>
      </w:r>
      <w:r>
        <w:rPr>
          <w:rFonts w:hint="eastAsia" w:ascii="黑体" w:hAnsi="黑体" w:eastAsia="黑体" w:cs="宋体"/>
          <w:sz w:val="28"/>
          <w:szCs w:val="28"/>
          <w:lang w:val="en-US" w:eastAsia="zh-CN"/>
        </w:rPr>
        <w:t xml:space="preserve">   </w:t>
      </w:r>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0285432D">
      <w:pPr>
        <w:pStyle w:val="29"/>
        <w:spacing w:before="156" w:beforeLines="50" w:after="156" w:afterLines="50" w:line="400" w:lineRule="atLeast"/>
        <w:ind w:firstLine="0" w:firstLineChars="0"/>
        <w:contextualSpacing/>
        <w:jc w:val="center"/>
        <w:rPr>
          <w:rFonts w:ascii="黑体" w:hAnsi="黑体" w:eastAsia="黑体" w:cs="宋体"/>
          <w:kern w:val="0"/>
          <w:sz w:val="32"/>
          <w:szCs w:val="32"/>
        </w:rPr>
        <w:sectPr>
          <w:headerReference r:id="rId5" w:type="first"/>
          <w:headerReference r:id="rId3" w:type="default"/>
          <w:footerReference r:id="rId6" w:type="default"/>
          <w:headerReference r:id="rId4" w:type="even"/>
          <w:pgSz w:w="11906" w:h="16838"/>
          <w:pgMar w:top="567" w:right="1134" w:bottom="1417" w:left="1417" w:header="851" w:footer="992" w:gutter="0"/>
          <w:cols w:space="425" w:num="1"/>
          <w:docGrid w:type="lines" w:linePitch="312" w:charSpace="0"/>
        </w:sectPr>
      </w:pPr>
      <w:r>
        <w:rPr>
          <w:rFonts w:ascii="黑体" w:hAnsi="黑体" w:eastAsia="黑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78740</wp:posOffset>
                </wp:positionH>
                <wp:positionV relativeFrom="paragraph">
                  <wp:posOffset>12065</wp:posOffset>
                </wp:positionV>
                <wp:extent cx="5556885" cy="24130"/>
                <wp:effectExtent l="0" t="4445" r="5715" b="9525"/>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5556885" cy="2413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6.2pt;margin-top:0.95pt;height:1.9pt;width:437.55pt;z-index:251659264;mso-width-relative:page;mso-height-relative:page;" filled="f" stroked="t" coordsize="21600,21600" o:gfxdata="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5sCEB1QAAAAYBAAAPAAAAAAAAAAEAIAAAACIAAABkcnMvZG93bnJldi54bWxQ&#10;SwECFAAUAAAACACHTuJADJqE/voBAADCAwAADgAAAAAAAAABACAAAAAkAQAAZHJzL2Uyb0RvYy54&#10;bWxQSwUGAAAAAAYABgBZAQAAkAUAAAAA&#10;">
                <v:fill on="f" focussize="0,0"/>
                <v:stroke color="#000000" joinstyle="round"/>
                <v:imagedata o:title=""/>
                <o:lock v:ext="edit" aspectratio="f"/>
              </v:shape>
            </w:pict>
          </mc:Fallback>
        </mc:AlternateContent>
      </w:r>
      <w:r>
        <w:rPr>
          <w:rFonts w:hint="eastAsia" w:ascii="华文中宋" w:hAnsi="华文中宋" w:eastAsia="华文中宋" w:cs="华文中宋"/>
          <w:spacing w:val="71"/>
          <w:kern w:val="0"/>
          <w:sz w:val="32"/>
          <w:szCs w:val="32"/>
        </w:rPr>
        <w:t>中国</w:t>
      </w:r>
      <w:r>
        <w:rPr>
          <w:rFonts w:ascii="华文中宋" w:hAnsi="华文中宋" w:eastAsia="华文中宋" w:cs="华文中宋"/>
          <w:spacing w:val="71"/>
          <w:kern w:val="0"/>
          <w:sz w:val="32"/>
          <w:szCs w:val="32"/>
        </w:rPr>
        <w:t>绿色食品发展中心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29D28279">
      <w:pPr>
        <w:pStyle w:val="29"/>
        <w:spacing w:before="156" w:beforeLines="50" w:after="156" w:afterLines="50" w:line="400" w:lineRule="atLeast"/>
        <w:ind w:firstLine="0" w:firstLineChars="0"/>
        <w:contextualSpacing/>
        <w:jc w:val="center"/>
        <w:rPr>
          <w:rFonts w:ascii="黑体" w:hAnsi="黑体" w:eastAsia="黑体" w:cs="宋体"/>
          <w:kern w:val="0"/>
          <w:sz w:val="32"/>
          <w:szCs w:val="32"/>
        </w:rPr>
      </w:pPr>
    </w:p>
    <w:p w14:paraId="0B605830">
      <w:pPr>
        <w:pStyle w:val="29"/>
        <w:spacing w:before="156" w:beforeLines="50" w:after="156" w:afterLines="50" w:line="400" w:lineRule="atLeast"/>
        <w:ind w:firstLine="0" w:firstLineChars="0"/>
        <w:contextualSpacing/>
        <w:jc w:val="center"/>
        <w:rPr>
          <w:rFonts w:ascii="黑体" w:hAnsi="黑体" w:eastAsia="黑体" w:cs="宋体"/>
          <w:kern w:val="0"/>
          <w:sz w:val="32"/>
          <w:szCs w:val="32"/>
        </w:rPr>
      </w:pPr>
      <w:r>
        <w:rPr>
          <w:rFonts w:hint="eastAsia" w:ascii="黑体" w:hAnsi="黑体" w:eastAsia="黑体" w:cs="宋体"/>
          <w:kern w:val="0"/>
          <w:sz w:val="32"/>
          <w:szCs w:val="32"/>
        </w:rPr>
        <w:t>前</w:t>
      </w:r>
      <w:r>
        <w:rPr>
          <w:rFonts w:ascii="黑体" w:hAnsi="黑体" w:eastAsia="黑体" w:cs="宋体"/>
          <w:kern w:val="0"/>
          <w:sz w:val="32"/>
          <w:szCs w:val="32"/>
        </w:rPr>
        <w:t xml:space="preserve">  </w:t>
      </w:r>
      <w:r>
        <w:rPr>
          <w:rFonts w:hint="eastAsia" w:ascii="黑体" w:hAnsi="黑体" w:eastAsia="黑体" w:cs="宋体"/>
          <w:kern w:val="0"/>
          <w:sz w:val="32"/>
          <w:szCs w:val="32"/>
        </w:rPr>
        <w:t>言</w:t>
      </w:r>
    </w:p>
    <w:p w14:paraId="6820AFB5">
      <w:pPr>
        <w:pStyle w:val="29"/>
        <w:spacing w:before="156" w:beforeLines="50" w:after="156" w:afterLines="50" w:line="400" w:lineRule="atLeast"/>
        <w:ind w:left="357" w:firstLine="0" w:firstLineChars="0"/>
        <w:contextualSpacing/>
        <w:jc w:val="center"/>
        <w:rPr>
          <w:rFonts w:ascii="黑体" w:hAnsi="黑体" w:eastAsia="黑体" w:cs="宋体"/>
          <w:kern w:val="0"/>
          <w:sz w:val="32"/>
          <w:szCs w:val="32"/>
        </w:rPr>
      </w:pPr>
    </w:p>
    <w:p w14:paraId="7882731B">
      <w:pPr>
        <w:pStyle w:val="38"/>
        <w:spacing w:line="276" w:lineRule="auto"/>
        <w:rPr>
          <w:rFonts w:ascii="Times New Roman"/>
        </w:rPr>
      </w:pPr>
      <w:r>
        <w:rPr>
          <w:rFonts w:hint="eastAsia" w:ascii="Times New Roman"/>
        </w:rPr>
        <w:t>本规程由中国绿色食品发展中心提出并归口</w:t>
      </w:r>
    </w:p>
    <w:p w14:paraId="55C52E69">
      <w:pPr>
        <w:pStyle w:val="38"/>
        <w:spacing w:line="276" w:lineRule="auto"/>
        <w:rPr>
          <w:rFonts w:ascii="Times New Roman"/>
        </w:rPr>
      </w:pPr>
      <w:r>
        <w:rPr>
          <w:rFonts w:hint="eastAsia" w:ascii="Times New Roman"/>
        </w:rPr>
        <w:t>本</w:t>
      </w:r>
      <w:r>
        <w:rPr>
          <w:rFonts w:hint="eastAsia" w:hAnsi="宋体"/>
        </w:rPr>
        <w:t>规程</w:t>
      </w:r>
      <w:r>
        <w:rPr>
          <w:rFonts w:hint="eastAsia" w:ascii="Times New Roman"/>
        </w:rPr>
        <w:t>起草单位：</w:t>
      </w:r>
      <w:r>
        <w:rPr>
          <w:rFonts w:hint="eastAsia" w:hAnsi="宋体" w:cs="宋体"/>
          <w:kern w:val="2"/>
          <w:szCs w:val="21"/>
          <w:lang w:bidi="ar"/>
        </w:rPr>
        <w:t>内蒙古自治区农畜产品质量安全中心、巴彦淖尔市农畜产品质量安全中心、包头市农畜产品质量安全中心、扎兰屯市农村经营服务中心、中国绿色食品</w:t>
      </w:r>
      <w:r>
        <w:rPr>
          <w:rFonts w:hAnsi="宋体" w:cs="宋体"/>
          <w:kern w:val="2"/>
          <w:szCs w:val="21"/>
          <w:lang w:bidi="ar"/>
        </w:rPr>
        <w:t>发展中心、</w:t>
      </w:r>
      <w:r>
        <w:rPr>
          <w:rFonts w:hint="eastAsia" w:hAnsi="宋体" w:cs="宋体"/>
          <w:kern w:val="2"/>
          <w:szCs w:val="21"/>
          <w:lang w:bidi="ar"/>
        </w:rPr>
        <w:t>河北省农产品质量安全中心、甘肃省农产品质量中心、黑龙江省绿色食品发展中心</w:t>
      </w:r>
    </w:p>
    <w:p w14:paraId="63C52C82">
      <w:pPr>
        <w:pStyle w:val="38"/>
        <w:spacing w:line="276" w:lineRule="auto"/>
        <w:rPr>
          <w:rFonts w:hAnsi="宋体"/>
        </w:rPr>
        <w:sectPr>
          <w:headerReference r:id="rId9" w:type="first"/>
          <w:headerReference r:id="rId7" w:type="default"/>
          <w:footerReference r:id="rId10" w:type="default"/>
          <w:headerReference r:id="rId8" w:type="even"/>
          <w:footerReference r:id="rId11" w:type="even"/>
          <w:pgSz w:w="11906" w:h="16838"/>
          <w:pgMar w:top="1440" w:right="1800" w:bottom="1440" w:left="1800" w:header="851" w:footer="992" w:gutter="0"/>
          <w:pgNumType w:start="1"/>
          <w:cols w:space="425" w:num="1"/>
          <w:docGrid w:type="lines" w:linePitch="312" w:charSpace="0"/>
        </w:sectPr>
      </w:pPr>
      <w:r>
        <w:rPr>
          <w:rFonts w:hint="eastAsia" w:ascii="Times New Roman"/>
        </w:rPr>
        <w:t>本</w:t>
      </w:r>
      <w:r>
        <w:rPr>
          <w:rFonts w:hint="eastAsia" w:hAnsi="宋体"/>
        </w:rPr>
        <w:t>规程</w:t>
      </w:r>
      <w:r>
        <w:rPr>
          <w:rFonts w:hint="eastAsia" w:ascii="Times New Roman"/>
        </w:rPr>
        <w:t>主要起草人：</w:t>
      </w:r>
      <w:r>
        <w:rPr>
          <w:rFonts w:hint="eastAsia" w:hAnsi="宋体"/>
        </w:rPr>
        <w:t>云岩春、李刚、于元蕾、郭琳、张利、崔丽光、于海东、邓涛、董强、孙秀云、袁苑、孙小兵、马欢庆、郭艳、白志荣、翟泰宇、李超、郭艳琼、康博洋、刘丽萍、乔春楠</w:t>
      </w:r>
      <w:r>
        <w:rPr>
          <w:rFonts w:hAnsi="宋体"/>
        </w:rPr>
        <w:t>、</w:t>
      </w:r>
      <w:r>
        <w:rPr>
          <w:rFonts w:hint="eastAsia" w:hAnsi="宋体"/>
        </w:rPr>
        <w:t>尤帅、王刚、刘培源</w:t>
      </w:r>
    </w:p>
    <w:p w14:paraId="61E4FAFD">
      <w:pPr>
        <w:pStyle w:val="38"/>
        <w:spacing w:line="276" w:lineRule="auto"/>
        <w:rPr>
          <w:rFonts w:ascii="Times New Roman"/>
        </w:rPr>
      </w:pPr>
    </w:p>
    <w:p w14:paraId="1E1FFCCE">
      <w:pPr>
        <w:pStyle w:val="29"/>
        <w:spacing w:before="156" w:beforeLines="50" w:after="156" w:afterLines="50" w:line="400" w:lineRule="atLeast"/>
        <w:ind w:left="357" w:firstLine="0" w:firstLineChars="0"/>
        <w:jc w:val="center"/>
        <w:rPr>
          <w:rFonts w:ascii="黑体" w:hAnsi="黑体" w:eastAsia="黑体"/>
          <w:sz w:val="32"/>
          <w:szCs w:val="32"/>
        </w:rPr>
      </w:pPr>
      <w:r>
        <w:rPr>
          <w:rFonts w:hint="eastAsia" w:ascii="黑体" w:hAnsi="黑体" w:eastAsia="黑体" w:cs="黑体"/>
          <w:sz w:val="32"/>
          <w:szCs w:val="32"/>
        </w:rPr>
        <w:t>北方地区 绿色食品设施秋葵生产操作规程</w:t>
      </w:r>
    </w:p>
    <w:p w14:paraId="2ECFC0C3">
      <w:pPr>
        <w:pStyle w:val="29"/>
        <w:spacing w:line="400" w:lineRule="exact"/>
        <w:ind w:firstLine="0" w:firstLineChars="0"/>
        <w:contextualSpacing/>
        <w:rPr>
          <w:rFonts w:ascii="黑体" w:hAnsi="黑体" w:eastAsia="黑体" w:cs="黑体"/>
          <w:snapToGrid w:val="0"/>
          <w:kern w:val="21"/>
        </w:rPr>
      </w:pPr>
    </w:p>
    <w:p w14:paraId="61101D88">
      <w:pPr>
        <w:pStyle w:val="13"/>
      </w:pPr>
      <w:r>
        <w:rPr>
          <w:snapToGrid w:val="0"/>
        </w:rPr>
        <w:t xml:space="preserve">1 </w:t>
      </w:r>
      <w:r>
        <w:rPr>
          <w:rFonts w:hint="eastAsia"/>
          <w:snapToGrid w:val="0"/>
        </w:rPr>
        <w:t>范围</w:t>
      </w:r>
    </w:p>
    <w:p w14:paraId="1F70708B">
      <w:pPr>
        <w:widowControl/>
        <w:ind w:firstLine="420" w:firstLineChars="200"/>
        <w:rPr>
          <w:rFonts w:asciiTheme="minorEastAsia" w:hAnsiTheme="minorEastAsia" w:eastAsiaTheme="minorEastAsia" w:cstheme="minorEastAsia"/>
          <w:snapToGrid w:val="0"/>
          <w:kern w:val="21"/>
          <w:szCs w:val="21"/>
        </w:rPr>
      </w:pPr>
      <w:r>
        <w:rPr>
          <w:rFonts w:hint="eastAsia" w:asciiTheme="minorEastAsia" w:hAnsiTheme="minorEastAsia" w:eastAsiaTheme="minorEastAsia" w:cstheme="minorEastAsia"/>
          <w:snapToGrid w:val="0"/>
          <w:kern w:val="21"/>
          <w:szCs w:val="21"/>
        </w:rPr>
        <w:t>本规程规定了</w:t>
      </w:r>
      <w:r>
        <w:rPr>
          <w:rFonts w:hint="eastAsia" w:asciiTheme="minorEastAsia" w:hAnsiTheme="minorEastAsia" w:eastAsiaTheme="minorEastAsia" w:cstheme="minorEastAsia"/>
          <w:color w:val="000000"/>
          <w:kern w:val="0"/>
          <w:szCs w:val="21"/>
          <w:lang w:bidi="ar"/>
        </w:rPr>
        <w:t>北方地区绿色食品设施秋葵生产的</w:t>
      </w:r>
      <w:r>
        <w:rPr>
          <w:rFonts w:hint="eastAsia" w:asciiTheme="minorEastAsia" w:hAnsiTheme="minorEastAsia" w:eastAsiaTheme="minorEastAsia" w:cstheme="minorEastAsia"/>
          <w:snapToGrid w:val="0"/>
          <w:kern w:val="21"/>
          <w:szCs w:val="21"/>
        </w:rPr>
        <w:t>产地环境、设施要求、栽培季节</w:t>
      </w:r>
      <w:r>
        <w:rPr>
          <w:rFonts w:asciiTheme="minorEastAsia" w:hAnsiTheme="minorEastAsia" w:eastAsiaTheme="minorEastAsia" w:cstheme="minorEastAsia"/>
          <w:snapToGrid w:val="0"/>
          <w:kern w:val="21"/>
          <w:szCs w:val="21"/>
        </w:rPr>
        <w:t>、</w:t>
      </w:r>
      <w:r>
        <w:rPr>
          <w:rFonts w:hint="eastAsia" w:asciiTheme="minorEastAsia" w:hAnsiTheme="minorEastAsia" w:eastAsiaTheme="minorEastAsia" w:cstheme="minorEastAsia"/>
          <w:snapToGrid w:val="0"/>
          <w:kern w:val="21"/>
          <w:szCs w:val="21"/>
        </w:rPr>
        <w:t>品种选择、育苗、定植、田间管理、病虫害防治、采收、生产</w:t>
      </w:r>
      <w:r>
        <w:rPr>
          <w:rFonts w:asciiTheme="minorEastAsia" w:hAnsiTheme="minorEastAsia" w:eastAsiaTheme="minorEastAsia" w:cstheme="minorEastAsia"/>
          <w:snapToGrid w:val="0"/>
          <w:kern w:val="21"/>
          <w:szCs w:val="21"/>
        </w:rPr>
        <w:t>废弃物处理、储藏与运输、</w:t>
      </w:r>
      <w:r>
        <w:rPr>
          <w:rFonts w:hint="eastAsia" w:asciiTheme="minorEastAsia" w:hAnsiTheme="minorEastAsia" w:eastAsiaTheme="minorEastAsia" w:cstheme="minorEastAsia"/>
          <w:snapToGrid w:val="0"/>
          <w:kern w:val="21"/>
          <w:szCs w:val="21"/>
        </w:rPr>
        <w:t>生产记录与档案。</w:t>
      </w:r>
    </w:p>
    <w:p w14:paraId="19A62350">
      <w:pPr>
        <w:pStyle w:val="29"/>
        <w:contextualSpacing/>
        <w:rPr>
          <w:rFonts w:asciiTheme="minorEastAsia" w:hAnsiTheme="minorEastAsia" w:eastAsiaTheme="minorEastAsia" w:cstheme="minorEastAsia"/>
          <w:snapToGrid w:val="0"/>
          <w:kern w:val="21"/>
        </w:rPr>
      </w:pPr>
      <w:r>
        <w:rPr>
          <w:rFonts w:hint="eastAsia" w:asciiTheme="minorEastAsia" w:hAnsiTheme="minorEastAsia" w:eastAsiaTheme="minorEastAsia" w:cstheme="minorEastAsia"/>
          <w:snapToGrid w:val="0"/>
          <w:kern w:val="21"/>
        </w:rPr>
        <w:t>本规程适用于</w:t>
      </w:r>
      <w:r>
        <w:rPr>
          <w:rFonts w:hint="eastAsia" w:asciiTheme="minorEastAsia" w:hAnsiTheme="minorEastAsia" w:eastAsiaTheme="minorEastAsia" w:cstheme="minorEastAsia"/>
          <w:color w:val="000000"/>
          <w:kern w:val="0"/>
          <w:lang w:bidi="ar"/>
        </w:rPr>
        <w:t>华北、环渤海及黄淮海、东北、西北地区的绿色食品设施秋葵生产</w:t>
      </w:r>
      <w:r>
        <w:rPr>
          <w:rFonts w:hint="eastAsia" w:asciiTheme="minorEastAsia" w:hAnsiTheme="minorEastAsia" w:eastAsiaTheme="minorEastAsia" w:cstheme="minorEastAsia"/>
          <w:snapToGrid w:val="0"/>
          <w:kern w:val="21"/>
        </w:rPr>
        <w:t>。</w:t>
      </w:r>
    </w:p>
    <w:p w14:paraId="280B9273">
      <w:pPr>
        <w:pStyle w:val="13"/>
        <w:rPr>
          <w:snapToGrid w:val="0"/>
        </w:rPr>
      </w:pPr>
      <w:r>
        <w:rPr>
          <w:snapToGrid w:val="0"/>
        </w:rPr>
        <w:t xml:space="preserve">2 </w:t>
      </w:r>
      <w:r>
        <w:rPr>
          <w:rFonts w:hint="eastAsia"/>
          <w:snapToGrid w:val="0"/>
        </w:rPr>
        <w:t>规范性引用文件</w:t>
      </w:r>
    </w:p>
    <w:p w14:paraId="78CE3433">
      <w:pPr>
        <w:ind w:firstLine="420" w:firstLineChars="200"/>
        <w:rPr>
          <w:rFonts w:eastAsiaTheme="minorEastAsia" w:cstheme="minorEastAsia"/>
        </w:rPr>
      </w:pPr>
      <w:r>
        <w:rPr>
          <w:rFonts w:hint="eastAsia" w:eastAsiaTheme="minorEastAsia" w:cstheme="minorEastAsia"/>
        </w:rPr>
        <w:t>下列文件中的内容通过文中的规范性引用而构成本</w:t>
      </w:r>
      <w:r>
        <w:rPr>
          <w:rFonts w:hint="eastAsia" w:asciiTheme="minorEastAsia" w:hAnsiTheme="minorEastAsia" w:eastAsiaTheme="minorEastAsia" w:cstheme="minorEastAsia"/>
          <w:snapToGrid w:val="0"/>
          <w:kern w:val="21"/>
        </w:rPr>
        <w:t>规程</w:t>
      </w:r>
      <w:r>
        <w:rPr>
          <w:rFonts w:hint="eastAsia" w:eastAsiaTheme="minorEastAsia" w:cstheme="minorEastAsia"/>
        </w:rPr>
        <w:t>必不可少的条款。其中，注日期的引用文件，仅该日期对应的版本适用于本</w:t>
      </w:r>
      <w:r>
        <w:rPr>
          <w:rFonts w:hint="eastAsia" w:asciiTheme="minorEastAsia" w:hAnsiTheme="minorEastAsia" w:eastAsiaTheme="minorEastAsia" w:cstheme="minorEastAsia"/>
          <w:snapToGrid w:val="0"/>
          <w:kern w:val="21"/>
        </w:rPr>
        <w:t>规程</w:t>
      </w:r>
      <w:r>
        <w:rPr>
          <w:rFonts w:hint="eastAsia" w:eastAsiaTheme="minorEastAsia" w:cstheme="minorEastAsia"/>
        </w:rPr>
        <w:t>；不注日期的引用文件，其最新版本（包括所有的修改单）适用于本</w:t>
      </w:r>
      <w:r>
        <w:rPr>
          <w:rFonts w:hint="eastAsia" w:asciiTheme="minorEastAsia" w:hAnsiTheme="minorEastAsia" w:eastAsiaTheme="minorEastAsia" w:cstheme="minorEastAsia"/>
          <w:snapToGrid w:val="0"/>
          <w:kern w:val="21"/>
        </w:rPr>
        <w:t>规程</w:t>
      </w:r>
      <w:r>
        <w:rPr>
          <w:rFonts w:hint="eastAsia" w:eastAsiaTheme="minorEastAsia" w:cstheme="minorEastAsia"/>
        </w:rPr>
        <w:t>。</w:t>
      </w:r>
    </w:p>
    <w:p w14:paraId="467717DB">
      <w:pPr>
        <w:ind w:firstLine="420" w:firstLineChars="200"/>
        <w:rPr>
          <w:rFonts w:ascii="Times New Roman" w:hAnsi="Times New Roman" w:eastAsiaTheme="minorEastAsia" w:cstheme="minorEastAsia"/>
          <w:szCs w:val="21"/>
        </w:rPr>
      </w:pPr>
      <w:r>
        <w:rPr>
          <w:rFonts w:hint="eastAsia" w:ascii="Times New Roman" w:hAnsi="Times New Roman" w:eastAsiaTheme="minorEastAsia" w:cstheme="minorEastAsia"/>
          <w:szCs w:val="21"/>
        </w:rPr>
        <w:t>JB/T 10594 日光温室和塑料大棚结构与性能要求</w:t>
      </w:r>
    </w:p>
    <w:p w14:paraId="39F39117">
      <w:pPr>
        <w:pStyle w:val="29"/>
        <w:contextualSpacing/>
        <w:rPr>
          <w:rFonts w:eastAsiaTheme="minorEastAsia" w:cstheme="minorEastAsia"/>
        </w:rPr>
      </w:pPr>
      <w:bookmarkStart w:id="0" w:name="_Toc5630081"/>
      <w:bookmarkEnd w:id="0"/>
      <w:r>
        <w:rPr>
          <w:rFonts w:hint="eastAsia" w:eastAsiaTheme="minorEastAsia" w:cstheme="minorEastAsia"/>
        </w:rPr>
        <w:t>NY/T 391   绿色食品  产地环境质量</w:t>
      </w:r>
    </w:p>
    <w:p w14:paraId="6CDBEE23">
      <w:pPr>
        <w:ind w:firstLine="420" w:firstLineChars="200"/>
        <w:rPr>
          <w:rFonts w:ascii="Times New Roman" w:hAnsi="Times New Roman" w:eastAsiaTheme="minorEastAsia" w:cstheme="minorEastAsia"/>
          <w:szCs w:val="21"/>
        </w:rPr>
      </w:pPr>
      <w:r>
        <w:rPr>
          <w:rFonts w:hint="eastAsia" w:ascii="Times New Roman" w:hAnsi="Times New Roman" w:eastAsiaTheme="minorEastAsia" w:cstheme="minorEastAsia"/>
          <w:szCs w:val="21"/>
        </w:rPr>
        <w:t>NY/T 393   绿色食品  农药使用准则</w:t>
      </w:r>
    </w:p>
    <w:p w14:paraId="348992FB">
      <w:pPr>
        <w:ind w:firstLine="420" w:firstLineChars="200"/>
        <w:rPr>
          <w:rFonts w:ascii="Times New Roman" w:hAnsi="Times New Roman" w:eastAsiaTheme="minorEastAsia" w:cstheme="minorEastAsia"/>
          <w:szCs w:val="21"/>
        </w:rPr>
      </w:pPr>
      <w:r>
        <w:rPr>
          <w:rFonts w:hint="eastAsia" w:ascii="Times New Roman" w:hAnsi="Times New Roman" w:eastAsiaTheme="minorEastAsia" w:cstheme="minorEastAsia"/>
          <w:szCs w:val="21"/>
        </w:rPr>
        <w:t>NY/T 394   绿色食品  肥料使用准则</w:t>
      </w:r>
    </w:p>
    <w:p w14:paraId="23EAD152">
      <w:pPr>
        <w:ind w:firstLine="420" w:firstLineChars="200"/>
        <w:rPr>
          <w:rFonts w:ascii="Times New Roman" w:hAnsi="Times New Roman" w:eastAsiaTheme="minorEastAsia" w:cstheme="minorEastAsia"/>
          <w:szCs w:val="21"/>
        </w:rPr>
      </w:pPr>
      <w:r>
        <w:rPr>
          <w:rFonts w:hint="eastAsia" w:ascii="Times New Roman" w:hAnsi="Times New Roman" w:eastAsiaTheme="minorEastAsia"/>
        </w:rPr>
        <w:t xml:space="preserve">NY/T 1056 </w:t>
      </w:r>
      <w:r>
        <w:rPr>
          <w:rFonts w:hint="eastAsia" w:asciiTheme="minorEastAsia" w:hAnsiTheme="minorEastAsia" w:eastAsiaTheme="minorEastAsia" w:cstheme="minorEastAsia"/>
        </w:rPr>
        <w:t xml:space="preserve"> 绿色食品  储藏运输准则</w:t>
      </w:r>
    </w:p>
    <w:p w14:paraId="11F4AB4C">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NY/T 2118  蔬菜育苗基质</w:t>
      </w:r>
    </w:p>
    <w:p w14:paraId="3DA441CD">
      <w:pPr>
        <w:pStyle w:val="29"/>
        <w:contextualSpacing/>
      </w:pPr>
      <w:r>
        <w:t xml:space="preserve">NY/T 3270 </w:t>
      </w:r>
      <w:r>
        <w:rPr>
          <w:rFonts w:hint="eastAsia"/>
        </w:rPr>
        <w:t xml:space="preserve"> </w:t>
      </w:r>
      <w:r>
        <w:t>黄秋葵等级规格</w:t>
      </w:r>
    </w:p>
    <w:p w14:paraId="0050BCFC">
      <w:pPr>
        <w:ind w:firstLine="420" w:firstLineChars="200"/>
        <w:rPr>
          <w:rFonts w:asciiTheme="minorEastAsia" w:hAnsiTheme="minorEastAsia" w:eastAsiaTheme="minorEastAsia" w:cstheme="minorEastAsia"/>
        </w:rPr>
      </w:pPr>
      <w:r>
        <w:rPr>
          <w:rFonts w:hint="eastAsia" w:ascii="Times New Roman" w:hAnsi="Times New Roman" w:eastAsiaTheme="minorEastAsia"/>
        </w:rPr>
        <w:t xml:space="preserve">NY/T 3570  </w:t>
      </w:r>
      <w:r>
        <w:rPr>
          <w:rFonts w:hint="eastAsia" w:asciiTheme="minorEastAsia" w:hAnsiTheme="minorEastAsia" w:eastAsiaTheme="minorEastAsia" w:cstheme="minorEastAsia"/>
        </w:rPr>
        <w:t>多年生蔬菜贮藏保鲜技术规程</w:t>
      </w:r>
      <w:bookmarkStart w:id="1" w:name="OLE_LINK5"/>
    </w:p>
    <w:p w14:paraId="54B85789">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NY/T 4203</w:t>
      </w:r>
      <w:r>
        <w:rPr>
          <w:rFonts w:hint="eastAsia" w:eastAsiaTheme="minorEastAsia" w:cstheme="minorEastAsia"/>
        </w:rPr>
        <w:t xml:space="preserve"> </w:t>
      </w:r>
      <w:r>
        <w:rPr>
          <w:rFonts w:hint="eastAsia" w:ascii="Times New Roman" w:hAnsi="Times New Roman" w:eastAsiaTheme="minorEastAsia" w:cstheme="minorEastAsia"/>
        </w:rPr>
        <w:t xml:space="preserve"> 塑料育苗穴盘</w:t>
      </w:r>
    </w:p>
    <w:bookmarkEnd w:id="1"/>
    <w:p w14:paraId="52E81DA5">
      <w:pPr>
        <w:pStyle w:val="13"/>
        <w:rPr>
          <w:snapToGrid w:val="0"/>
        </w:rPr>
      </w:pPr>
      <w:r>
        <w:rPr>
          <w:snapToGrid w:val="0"/>
        </w:rPr>
        <w:t>3</w:t>
      </w:r>
      <w:r>
        <w:rPr>
          <w:rFonts w:hint="eastAsia"/>
          <w:snapToGrid w:val="0"/>
        </w:rPr>
        <w:t xml:space="preserve"> 产地环境</w:t>
      </w:r>
    </w:p>
    <w:p w14:paraId="7026D042">
      <w:pPr>
        <w:ind w:firstLine="420" w:firstLineChars="200"/>
        <w:rPr>
          <w:rFonts w:asciiTheme="minorEastAsia" w:hAnsiTheme="minorEastAsia" w:eastAsiaTheme="minorEastAsia" w:cstheme="minorEastAsia"/>
          <w:snapToGrid w:val="0"/>
          <w:kern w:val="21"/>
          <w:szCs w:val="21"/>
        </w:rPr>
      </w:pPr>
      <w:r>
        <w:rPr>
          <w:rFonts w:hint="eastAsia" w:asciiTheme="minorEastAsia" w:hAnsiTheme="minorEastAsia" w:eastAsiaTheme="minorEastAsia" w:cstheme="minorEastAsia"/>
          <w:snapToGrid w:val="0"/>
          <w:kern w:val="21"/>
          <w:szCs w:val="21"/>
        </w:rPr>
        <w:t>宜选择土层深厚、疏松肥沃、pH值</w:t>
      </w:r>
      <w:r>
        <w:rPr>
          <w:rFonts w:ascii="Times New Roman" w:hAnsi="Times New Roman" w:eastAsiaTheme="minorEastAsia"/>
          <w:snapToGrid w:val="0"/>
          <w:kern w:val="21"/>
          <w:szCs w:val="21"/>
        </w:rPr>
        <w:t>6.0～6.5</w:t>
      </w:r>
      <w:r>
        <w:rPr>
          <w:rFonts w:hint="eastAsia" w:ascii="Times New Roman" w:hAnsi="Times New Roman" w:eastAsiaTheme="minorEastAsia"/>
          <w:snapToGrid w:val="0"/>
          <w:kern w:val="21"/>
          <w:szCs w:val="21"/>
        </w:rPr>
        <w:t>、</w:t>
      </w:r>
      <w:r>
        <w:rPr>
          <w:rFonts w:hint="eastAsia" w:asciiTheme="minorEastAsia" w:hAnsiTheme="minorEastAsia" w:eastAsiaTheme="minorEastAsia" w:cstheme="minorEastAsia"/>
          <w:snapToGrid w:val="0"/>
          <w:kern w:val="21"/>
          <w:szCs w:val="21"/>
        </w:rPr>
        <w:t>排水良好的壤土或沙壤土。产地环境条件应符合NY/T 391的规定。</w:t>
      </w:r>
    </w:p>
    <w:p w14:paraId="66B7DBB0">
      <w:pPr>
        <w:pStyle w:val="13"/>
        <w:rPr>
          <w:snapToGrid w:val="0"/>
        </w:rPr>
      </w:pPr>
      <w:r>
        <w:rPr>
          <w:rFonts w:hint="eastAsia"/>
          <w:snapToGrid w:val="0"/>
        </w:rPr>
        <w:t>4 设施要求</w:t>
      </w:r>
    </w:p>
    <w:p w14:paraId="66B00668">
      <w:pPr>
        <w:ind w:firstLine="420" w:firstLineChars="200"/>
        <w:rPr>
          <w:rFonts w:asciiTheme="minorEastAsia" w:hAnsiTheme="minorEastAsia" w:eastAsiaTheme="minorEastAsia" w:cstheme="minorEastAsia"/>
          <w:snapToGrid w:val="0"/>
          <w:kern w:val="21"/>
          <w:szCs w:val="21"/>
        </w:rPr>
      </w:pPr>
      <w:r>
        <w:rPr>
          <w:rFonts w:hint="eastAsia" w:asciiTheme="minorEastAsia" w:hAnsiTheme="minorEastAsia" w:eastAsiaTheme="minorEastAsia" w:cstheme="minorEastAsia"/>
          <w:snapToGrid w:val="0"/>
          <w:kern w:val="21"/>
          <w:szCs w:val="21"/>
        </w:rPr>
        <w:t>采用日光温室、连栋温室或塑料大棚进行栽培，相关设施应符合JB/T 10594的规定。</w:t>
      </w:r>
    </w:p>
    <w:p w14:paraId="5FEEBD39">
      <w:pPr>
        <w:pStyle w:val="13"/>
        <w:rPr>
          <w:snapToGrid w:val="0"/>
        </w:rPr>
      </w:pPr>
      <w:r>
        <w:rPr>
          <w:rFonts w:hint="eastAsia"/>
          <w:snapToGrid w:val="0"/>
        </w:rPr>
        <w:t>5 栽培季节</w:t>
      </w:r>
    </w:p>
    <w:p w14:paraId="1AE1C0BE">
      <w:pPr>
        <w:ind w:firstLine="420" w:firstLineChars="200"/>
        <w:rPr>
          <w:rFonts w:asciiTheme="minorEastAsia" w:hAnsiTheme="minorEastAsia" w:eastAsiaTheme="minorEastAsia" w:cstheme="minorEastAsia"/>
          <w:snapToGrid w:val="0"/>
          <w:kern w:val="21"/>
          <w:szCs w:val="21"/>
        </w:rPr>
      </w:pPr>
      <w:r>
        <w:rPr>
          <w:rFonts w:hint="eastAsia" w:asciiTheme="minorEastAsia" w:hAnsiTheme="minorEastAsia" w:eastAsiaTheme="minorEastAsia" w:cstheme="minorEastAsia"/>
          <w:snapToGrid w:val="0"/>
          <w:kern w:val="21"/>
          <w:szCs w:val="21"/>
        </w:rPr>
        <w:t>根据当地气候条件和设施类型，一般在1月～2月进行播种育苗，2月中下旬～4月中旬定植。</w:t>
      </w:r>
    </w:p>
    <w:p w14:paraId="40FBF7D4">
      <w:pPr>
        <w:pStyle w:val="13"/>
        <w:rPr>
          <w:snapToGrid w:val="0"/>
        </w:rPr>
      </w:pPr>
      <w:r>
        <w:rPr>
          <w:rFonts w:hint="eastAsia"/>
          <w:snapToGrid w:val="0"/>
        </w:rPr>
        <w:t>6 品种选择</w:t>
      </w:r>
    </w:p>
    <w:p w14:paraId="12E1936E">
      <w:pPr>
        <w:ind w:firstLine="420" w:firstLineChars="200"/>
        <w:rPr>
          <w:rFonts w:ascii="Times New Roman" w:eastAsiaTheme="minorEastAsia" w:cstheme="minorEastAsia"/>
        </w:rPr>
      </w:pPr>
      <w:r>
        <w:rPr>
          <w:rFonts w:hint="eastAsia" w:ascii="Times New Roman" w:eastAsiaTheme="minorEastAsia" w:cstheme="minorEastAsia"/>
        </w:rPr>
        <w:t>根据当地气候条件和栽培目的，应选择优质、丰产、抗病和适合目标市场需求的品种。如：绿五星、东京五角、五福、新东京5号等。</w:t>
      </w:r>
    </w:p>
    <w:p w14:paraId="5EF51193">
      <w:pPr>
        <w:pStyle w:val="13"/>
        <w:rPr>
          <w:snapToGrid w:val="0"/>
        </w:rPr>
      </w:pPr>
      <w:r>
        <w:rPr>
          <w:rFonts w:hint="eastAsia"/>
          <w:snapToGrid w:val="0"/>
        </w:rPr>
        <w:t>7 育苗</w:t>
      </w:r>
    </w:p>
    <w:p w14:paraId="0BB3DB33">
      <w:pPr>
        <w:pStyle w:val="3"/>
        <w:rPr>
          <w:snapToGrid w:val="0"/>
        </w:rPr>
      </w:pPr>
      <w:r>
        <w:rPr>
          <w:rFonts w:hint="eastAsia"/>
          <w:snapToGrid w:val="0"/>
        </w:rPr>
        <w:t>7.1 种子处理</w:t>
      </w:r>
    </w:p>
    <w:p w14:paraId="0024E822">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选择饱满、无病虫害的种子，播种前用5</w:t>
      </w:r>
      <w:r>
        <w:rPr>
          <w:rFonts w:ascii="Times New Roman" w:hAnsi="Times New Roman" w:eastAsiaTheme="minorEastAsia"/>
        </w:rPr>
        <w:t>0℃～55℃</w:t>
      </w:r>
      <w:r>
        <w:rPr>
          <w:rFonts w:hint="eastAsia" w:ascii="Times New Roman" w:hAnsi="Times New Roman" w:eastAsiaTheme="minorEastAsia" w:cstheme="minorEastAsia"/>
        </w:rPr>
        <w:t>温水浸泡25min～30min，搅拌降温至室温，浸泡20h～24h，使种子充分吸水。浸泡后捞出洗净，用湿布包好，放在25</w:t>
      </w:r>
      <w:r>
        <w:rPr>
          <w:rFonts w:ascii="Times New Roman" w:hAnsi="Times New Roman" w:eastAsiaTheme="minorEastAsia" w:cstheme="minorEastAsia"/>
        </w:rPr>
        <w:t>℃</w:t>
      </w:r>
      <w:r>
        <w:rPr>
          <w:rFonts w:hint="eastAsia" w:ascii="Times New Roman" w:hAnsi="Times New Roman" w:eastAsiaTheme="minorEastAsia" w:cstheme="minorEastAsia"/>
        </w:rPr>
        <w:t>～3</w:t>
      </w:r>
      <w:r>
        <w:rPr>
          <w:rFonts w:ascii="Times New Roman" w:hAnsi="Times New Roman" w:eastAsiaTheme="minorEastAsia"/>
        </w:rPr>
        <w:t>0℃</w:t>
      </w:r>
      <w:r>
        <w:rPr>
          <w:rFonts w:hint="eastAsia" w:ascii="Times New Roman" w:hAnsi="Times New Roman" w:eastAsiaTheme="minorEastAsia" w:cstheme="minorEastAsia"/>
        </w:rPr>
        <w:t>的环境下催芽，</w:t>
      </w:r>
      <w:r>
        <w:rPr>
          <w:rFonts w:ascii="Times New Roman" w:hAnsi="Times New Roman" w:eastAsiaTheme="minorEastAsia" w:cstheme="minorEastAsia"/>
        </w:rPr>
        <w:t>约</w:t>
      </w:r>
      <w:r>
        <w:rPr>
          <w:rFonts w:hint="eastAsia" w:ascii="Times New Roman" w:hAnsi="Times New Roman" w:eastAsiaTheme="minorEastAsia" w:cstheme="minorEastAsia"/>
        </w:rPr>
        <w:t>60%的种子</w:t>
      </w:r>
      <w:r>
        <w:rPr>
          <w:rFonts w:ascii="Times New Roman" w:hAnsi="Times New Roman" w:eastAsiaTheme="minorEastAsia" w:cstheme="minorEastAsia"/>
        </w:rPr>
        <w:t>露白后</w:t>
      </w:r>
      <w:r>
        <w:rPr>
          <w:rFonts w:hint="eastAsia" w:ascii="Times New Roman" w:hAnsi="Times New Roman" w:eastAsiaTheme="minorEastAsia" w:cstheme="minorEastAsia"/>
        </w:rPr>
        <w:t>即可</w:t>
      </w:r>
      <w:r>
        <w:rPr>
          <w:rFonts w:ascii="Times New Roman" w:hAnsi="Times New Roman" w:eastAsiaTheme="minorEastAsia" w:cstheme="minorEastAsia"/>
        </w:rPr>
        <w:t>播种。</w:t>
      </w:r>
    </w:p>
    <w:p w14:paraId="5713432D">
      <w:pPr>
        <w:pStyle w:val="3"/>
        <w:rPr>
          <w:snapToGrid w:val="0"/>
        </w:rPr>
      </w:pPr>
      <w:r>
        <w:rPr>
          <w:rFonts w:hint="eastAsia"/>
          <w:snapToGrid w:val="0"/>
        </w:rPr>
        <w:t>7.2 育苗</w:t>
      </w:r>
    </w:p>
    <w:p w14:paraId="19EAAA5B">
      <w:pPr>
        <w:ind w:firstLine="420" w:firstLineChars="200"/>
        <w:rPr>
          <w:rFonts w:ascii="Times New Roman" w:hAnsi="Times New Roman" w:eastAsiaTheme="minorEastAsia" w:cstheme="minorEastAsia"/>
          <w:color w:val="FF0000"/>
        </w:rPr>
      </w:pPr>
      <w:r>
        <w:rPr>
          <w:rFonts w:hint="eastAsia" w:ascii="Times New Roman" w:hAnsi="Times New Roman" w:eastAsiaTheme="minorEastAsia" w:cstheme="minorEastAsia"/>
        </w:rPr>
        <w:t>定植前30d</w:t>
      </w:r>
      <w:r>
        <w:rPr>
          <w:rFonts w:hint="eastAsia" w:ascii="Times New Roman" w:hAnsi="Times New Roman"/>
          <w:szCs w:val="21"/>
        </w:rPr>
        <w:t>～35d,在温室中</w:t>
      </w:r>
      <w:r>
        <w:rPr>
          <w:rFonts w:hint="eastAsia" w:ascii="Times New Roman" w:hAnsi="Times New Roman" w:eastAsiaTheme="minorEastAsia" w:cstheme="minorEastAsia"/>
        </w:rPr>
        <w:t>使用穴盘育苗，</w:t>
      </w:r>
      <w:r>
        <w:rPr>
          <w:rFonts w:hint="eastAsia" w:eastAsiaTheme="minorEastAsia" w:cstheme="minorEastAsia"/>
        </w:rPr>
        <w:t>穴盘应符合</w:t>
      </w:r>
      <w:r>
        <w:rPr>
          <w:rFonts w:hint="eastAsia" w:ascii="Times New Roman" w:hAnsi="Times New Roman" w:eastAsiaTheme="minorEastAsia" w:cstheme="minorEastAsia"/>
        </w:rPr>
        <w:t>NY/T 4203</w:t>
      </w:r>
      <w:r>
        <w:rPr>
          <w:rFonts w:hint="eastAsia" w:eastAsiaTheme="minorEastAsia" w:cstheme="minorEastAsia"/>
        </w:rPr>
        <w:t>的规定</w:t>
      </w:r>
      <w:r>
        <w:rPr>
          <w:rFonts w:hint="eastAsia" w:ascii="Times New Roman" w:hAnsi="Times New Roman" w:eastAsiaTheme="minorEastAsia" w:cstheme="minorEastAsia"/>
        </w:rPr>
        <w:t>。</w:t>
      </w:r>
    </w:p>
    <w:p w14:paraId="46207AE5">
      <w:pPr>
        <w:pStyle w:val="4"/>
      </w:pPr>
      <w:r>
        <w:rPr>
          <w:rFonts w:hint="eastAsia"/>
        </w:rPr>
        <w:t>7.2.1 装盘播种</w:t>
      </w:r>
    </w:p>
    <w:p w14:paraId="070AFF2A">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将基质装入</w:t>
      </w:r>
      <w:r>
        <w:rPr>
          <w:rFonts w:hint="eastAsia" w:ascii="Times New Roman" w:hAnsi="Times New Roman" w:cstheme="minorEastAsia"/>
        </w:rPr>
        <w:t>专用育苗</w:t>
      </w:r>
      <w:r>
        <w:rPr>
          <w:rFonts w:hint="eastAsia" w:ascii="Times New Roman" w:hAnsi="Times New Roman" w:eastAsiaTheme="minorEastAsia" w:cstheme="minorEastAsia"/>
        </w:rPr>
        <w:t>穴盘，育苗基质应符合 NY/T 2118的规定。育苗穴盘预留1.5 cm</w:t>
      </w:r>
      <w:r>
        <w:rPr>
          <w:rFonts w:hint="eastAsia" w:ascii="Times New Roman" w:hAnsi="Times New Roman" w:eastAsiaTheme="minorEastAsia"/>
          <w:szCs w:val="21"/>
        </w:rPr>
        <w:t>～</w:t>
      </w:r>
      <w:r>
        <w:rPr>
          <w:rFonts w:hint="eastAsia" w:ascii="Times New Roman" w:hAnsi="Times New Roman" w:eastAsiaTheme="minorEastAsia" w:cstheme="minorEastAsia"/>
        </w:rPr>
        <w:t>2 cm 高空间，每穴播种1粒，覆土1.5 cm</w:t>
      </w:r>
      <w:r>
        <w:rPr>
          <w:rFonts w:hint="eastAsia" w:ascii="Times New Roman" w:hAnsi="Times New Roman"/>
          <w:szCs w:val="21"/>
        </w:rPr>
        <w:t>～</w:t>
      </w:r>
      <w:r>
        <w:rPr>
          <w:rFonts w:hint="eastAsia" w:ascii="Times New Roman" w:hAnsi="Times New Roman" w:eastAsiaTheme="minorEastAsia" w:cstheme="minorEastAsia"/>
        </w:rPr>
        <w:t>2 cm，再覆塑料薄膜保温保湿。</w:t>
      </w:r>
    </w:p>
    <w:p w14:paraId="140D8915">
      <w:pPr>
        <w:pStyle w:val="4"/>
      </w:pPr>
      <w:r>
        <w:rPr>
          <w:rFonts w:hint="eastAsia"/>
        </w:rPr>
        <w:t xml:space="preserve">7.2.2 </w:t>
      </w:r>
      <w:r>
        <w:rPr>
          <w:rFonts w:hint="eastAsia" w:ascii="Times New Roman" w:hAnsi="Times New Roman"/>
          <w:kern w:val="0"/>
        </w:rPr>
        <w:t>温度水分管理</w:t>
      </w:r>
    </w:p>
    <w:p w14:paraId="217CB27E">
      <w:pPr>
        <w:ind w:firstLine="420" w:firstLineChars="200"/>
        <w:rPr>
          <w:rFonts w:ascii="Times New Roman" w:hAnsi="Times New Roman" w:cstheme="minorEastAsia"/>
          <w:color w:val="FF0000"/>
        </w:rPr>
      </w:pPr>
      <w:r>
        <w:rPr>
          <w:rFonts w:hint="eastAsia"/>
          <w:snapToGrid w:val="0"/>
          <w:kern w:val="21"/>
        </w:rPr>
        <w:t>播种后白天温度保持在</w:t>
      </w:r>
      <w:r>
        <w:rPr>
          <w:rFonts w:ascii="Times New Roman" w:hAnsi="Times New Roman"/>
          <w:snapToGrid w:val="0"/>
          <w:kern w:val="21"/>
        </w:rPr>
        <w:t>25℃</w:t>
      </w:r>
      <w:r>
        <w:rPr>
          <w:rFonts w:ascii="Times New Roman" w:hAnsi="Times New Roman"/>
        </w:rPr>
        <w:t>～</w:t>
      </w:r>
      <w:r>
        <w:rPr>
          <w:rFonts w:ascii="Times New Roman" w:hAnsi="Times New Roman"/>
          <w:snapToGrid w:val="0"/>
          <w:kern w:val="21"/>
        </w:rPr>
        <w:t>30℃</w:t>
      </w:r>
      <w:r>
        <w:rPr>
          <w:rFonts w:hint="eastAsia"/>
          <w:snapToGrid w:val="0"/>
          <w:kern w:val="21"/>
        </w:rPr>
        <w:t>，夜间</w:t>
      </w:r>
      <w:r>
        <w:rPr>
          <w:rFonts w:ascii="Times New Roman" w:hAnsi="Times New Roman"/>
          <w:snapToGrid w:val="0"/>
          <w:kern w:val="21"/>
        </w:rPr>
        <w:t>15℃</w:t>
      </w:r>
      <w:r>
        <w:rPr>
          <w:rFonts w:ascii="Times New Roman" w:hAnsi="Times New Roman"/>
        </w:rPr>
        <w:t>～</w:t>
      </w:r>
      <w:r>
        <w:rPr>
          <w:rFonts w:ascii="Times New Roman" w:hAnsi="Times New Roman"/>
          <w:snapToGrid w:val="0"/>
          <w:kern w:val="21"/>
        </w:rPr>
        <w:t>20℃</w:t>
      </w:r>
      <w:r>
        <w:rPr>
          <w:rFonts w:hint="eastAsia"/>
          <w:snapToGrid w:val="0"/>
          <w:kern w:val="21"/>
        </w:rPr>
        <w:t>。</w:t>
      </w:r>
      <w:r>
        <w:rPr>
          <w:rFonts w:hint="eastAsia" w:ascii="Times New Roman" w:hAnsi="Times New Roman" w:eastAsiaTheme="minorEastAsia" w:cstheme="minorEastAsia"/>
        </w:rPr>
        <w:t>待60%幼苗出土后，</w:t>
      </w:r>
      <w:r>
        <w:rPr>
          <w:rFonts w:hint="eastAsia"/>
          <w:snapToGrid w:val="0"/>
          <w:kern w:val="21"/>
        </w:rPr>
        <w:t>及时去除</w:t>
      </w:r>
      <w:r>
        <w:rPr>
          <w:rFonts w:hint="eastAsia" w:ascii="Times New Roman" w:hAnsi="Times New Roman" w:eastAsiaTheme="minorEastAsia" w:cstheme="minorEastAsia"/>
        </w:rPr>
        <w:t>塑料薄膜，</w:t>
      </w:r>
      <w:r>
        <w:rPr>
          <w:rFonts w:hint="eastAsia"/>
          <w:snapToGrid w:val="0"/>
          <w:kern w:val="21"/>
        </w:rPr>
        <w:t>降低温度，白天</w:t>
      </w:r>
      <w:r>
        <w:rPr>
          <w:rFonts w:ascii="Times New Roman" w:hAnsi="Times New Roman"/>
          <w:snapToGrid w:val="0"/>
          <w:kern w:val="21"/>
        </w:rPr>
        <w:t>20℃</w:t>
      </w:r>
      <w:r>
        <w:rPr>
          <w:rFonts w:ascii="Times New Roman" w:hAnsi="Times New Roman"/>
        </w:rPr>
        <w:t>～</w:t>
      </w:r>
      <w:r>
        <w:rPr>
          <w:rFonts w:ascii="Times New Roman" w:hAnsi="Times New Roman"/>
          <w:snapToGrid w:val="0"/>
          <w:kern w:val="21"/>
        </w:rPr>
        <w:t>25℃</w:t>
      </w:r>
      <w:r>
        <w:rPr>
          <w:rFonts w:hint="eastAsia"/>
          <w:snapToGrid w:val="0"/>
          <w:kern w:val="21"/>
        </w:rPr>
        <w:t>，夜间</w:t>
      </w:r>
      <w:r>
        <w:rPr>
          <w:rFonts w:ascii="Times New Roman" w:hAnsi="Times New Roman"/>
          <w:snapToGrid w:val="0"/>
          <w:kern w:val="21"/>
        </w:rPr>
        <w:t>12℃</w:t>
      </w:r>
      <w:r>
        <w:rPr>
          <w:rFonts w:ascii="Times New Roman" w:hAnsi="Times New Roman"/>
        </w:rPr>
        <w:t>～</w:t>
      </w:r>
      <w:r>
        <w:rPr>
          <w:rFonts w:ascii="Times New Roman" w:hAnsi="Times New Roman"/>
          <w:snapToGrid w:val="0"/>
          <w:kern w:val="21"/>
        </w:rPr>
        <w:t>15℃</w:t>
      </w:r>
      <w:r>
        <w:rPr>
          <w:rFonts w:hint="eastAsia"/>
          <w:snapToGrid w:val="0"/>
          <w:kern w:val="21"/>
        </w:rPr>
        <w:t>，以防止幼苗徒长。基质保持见干见湿，根据幼苗生长情况适当喷施叶面肥。</w:t>
      </w:r>
    </w:p>
    <w:p w14:paraId="14D4A0BD">
      <w:pPr>
        <w:pStyle w:val="13"/>
        <w:rPr>
          <w:snapToGrid w:val="0"/>
        </w:rPr>
      </w:pPr>
      <w:r>
        <w:rPr>
          <w:rFonts w:hint="eastAsia"/>
          <w:snapToGrid w:val="0"/>
        </w:rPr>
        <w:t>8 定植</w:t>
      </w:r>
    </w:p>
    <w:p w14:paraId="731A7552">
      <w:pPr>
        <w:pStyle w:val="3"/>
        <w:rPr>
          <w:snapToGrid w:val="0"/>
        </w:rPr>
      </w:pPr>
      <w:r>
        <w:rPr>
          <w:rFonts w:hint="eastAsia"/>
          <w:snapToGrid w:val="0"/>
        </w:rPr>
        <w:t>8.1 定植前准备</w:t>
      </w:r>
    </w:p>
    <w:p w14:paraId="1CB8971D">
      <w:pPr>
        <w:ind w:firstLine="420" w:firstLineChars="200"/>
        <w:rPr>
          <w:snapToGrid w:val="0"/>
          <w:kern w:val="21"/>
        </w:rPr>
      </w:pPr>
      <w:r>
        <w:rPr>
          <w:rFonts w:hint="eastAsia"/>
          <w:snapToGrid w:val="0"/>
          <w:kern w:val="21"/>
        </w:rPr>
        <w:t>定植前15d～20d，对设施进行消毒，可采用硫磺熏蒸或高温闷棚的方法。同时，施足基肥，每亩施入充分腐熟的有机肥3000～5000kg、过磷酸钙50～80kg、硫酸钾20～30kg，深翻土壤，使肥料与土壤充分混合。</w:t>
      </w:r>
      <w:r>
        <w:rPr>
          <w:rFonts w:hint="eastAsia" w:ascii="Times New Roman" w:hAnsi="Times New Roman" w:eastAsiaTheme="minorEastAsia" w:cstheme="minorEastAsia"/>
          <w:szCs w:val="21"/>
        </w:rPr>
        <w:t>肥料应</w:t>
      </w:r>
      <w:r>
        <w:rPr>
          <w:rFonts w:ascii="Times New Roman" w:hAnsi="Times New Roman" w:eastAsiaTheme="minorEastAsia" w:cstheme="minorEastAsia"/>
          <w:szCs w:val="21"/>
        </w:rPr>
        <w:t>符合</w:t>
      </w:r>
      <w:r>
        <w:rPr>
          <w:rFonts w:hint="eastAsia" w:ascii="Times New Roman" w:hAnsi="Times New Roman" w:eastAsiaTheme="minorEastAsia" w:cstheme="minorEastAsia"/>
          <w:szCs w:val="21"/>
        </w:rPr>
        <w:t>NY/T 394的</w:t>
      </w:r>
      <w:r>
        <w:rPr>
          <w:rFonts w:ascii="Times New Roman" w:hAnsi="Times New Roman" w:eastAsiaTheme="minorEastAsia" w:cstheme="minorEastAsia"/>
          <w:szCs w:val="21"/>
        </w:rPr>
        <w:t>规定。</w:t>
      </w:r>
      <w:r>
        <w:rPr>
          <w:rFonts w:hint="eastAsia" w:ascii="Times New Roman" w:hAnsi="Times New Roman" w:eastAsiaTheme="minorEastAsia" w:cstheme="minorEastAsia"/>
        </w:rPr>
        <w:t>平畦定植，行距为60cm～80cm</w:t>
      </w:r>
      <w:r>
        <w:rPr>
          <w:rFonts w:hint="eastAsia" w:eastAsiaTheme="minorEastAsia" w:cstheme="minorEastAsia"/>
        </w:rPr>
        <w:t>，</w:t>
      </w:r>
      <w:r>
        <w:rPr>
          <w:rFonts w:hint="eastAsia"/>
          <w:color w:val="000000" w:themeColor="text1"/>
          <w14:textFill>
            <w14:solidFill>
              <w14:schemeClr w14:val="tx1"/>
            </w14:solidFill>
          </w14:textFill>
        </w:rPr>
        <w:t>畦面覆膜</w:t>
      </w:r>
      <w:r>
        <w:rPr>
          <w:rFonts w:hint="eastAsia" w:ascii="Times New Roman" w:hAnsi="Times New Roman" w:eastAsiaTheme="minorEastAsia" w:cstheme="minorEastAsia"/>
        </w:rPr>
        <w:t>。起垄定植，垄宽4</w:t>
      </w:r>
      <w:r>
        <w:rPr>
          <w:rFonts w:ascii="Times New Roman" w:hAnsi="Times New Roman" w:eastAsiaTheme="minorEastAsia" w:cstheme="minorEastAsia"/>
        </w:rPr>
        <w:t>0</w:t>
      </w:r>
      <w:r>
        <w:rPr>
          <w:rFonts w:hint="eastAsia" w:ascii="Times New Roman" w:hAnsi="Times New Roman" w:eastAsiaTheme="minorEastAsia" w:cstheme="minorEastAsia"/>
        </w:rPr>
        <w:t>cm，垄间距60cm，垄高5cm～10cm。有利于秋葵宽窄行种植和管理采收，并保证排水通畅，田不积水，苗不受渍。</w:t>
      </w:r>
    </w:p>
    <w:p w14:paraId="18025CAC">
      <w:pPr>
        <w:pStyle w:val="3"/>
        <w:rPr>
          <w:snapToGrid w:val="0"/>
        </w:rPr>
      </w:pPr>
      <w:r>
        <w:rPr>
          <w:rFonts w:hint="eastAsia"/>
          <w:snapToGrid w:val="0"/>
        </w:rPr>
        <w:t>8.2 定植时间</w:t>
      </w:r>
    </w:p>
    <w:p w14:paraId="15F978DE">
      <w:pPr>
        <w:widowControl/>
        <w:ind w:firstLine="420" w:firstLineChars="200"/>
        <w:rPr>
          <w:snapToGrid w:val="0"/>
          <w:kern w:val="21"/>
        </w:rPr>
      </w:pPr>
      <w:r>
        <w:rPr>
          <w:rFonts w:hint="eastAsia"/>
          <w:snapToGrid w:val="0"/>
          <w:kern w:val="21"/>
        </w:rPr>
        <w:t>土壤温度≥</w:t>
      </w:r>
      <w:r>
        <w:rPr>
          <w:rFonts w:ascii="Times New Roman" w:hAnsi="Times New Roman"/>
          <w:snapToGrid w:val="0"/>
          <w:kern w:val="21"/>
        </w:rPr>
        <w:t>12℃</w:t>
      </w:r>
      <w:r>
        <w:rPr>
          <w:rFonts w:hint="eastAsia"/>
          <w:snapToGrid w:val="0"/>
          <w:kern w:val="21"/>
        </w:rPr>
        <w:t>，幼苗具有3片～4片真叶时进行定植，温室定植一般在2月中下旬，塑料大棚定植一般在</w:t>
      </w:r>
      <w:r>
        <w:rPr>
          <w:snapToGrid w:val="0"/>
          <w:kern w:val="21"/>
        </w:rPr>
        <w:t>3</w:t>
      </w:r>
      <w:r>
        <w:rPr>
          <w:rFonts w:hint="eastAsia"/>
          <w:snapToGrid w:val="0"/>
          <w:kern w:val="21"/>
        </w:rPr>
        <w:t>月下旬～</w:t>
      </w:r>
      <w:r>
        <w:rPr>
          <w:snapToGrid w:val="0"/>
          <w:kern w:val="21"/>
        </w:rPr>
        <w:t>4</w:t>
      </w:r>
      <w:r>
        <w:rPr>
          <w:rFonts w:hint="eastAsia"/>
          <w:snapToGrid w:val="0"/>
          <w:kern w:val="21"/>
        </w:rPr>
        <w:t>月中旬。</w:t>
      </w:r>
    </w:p>
    <w:p w14:paraId="3ACD0E33">
      <w:pPr>
        <w:pStyle w:val="3"/>
        <w:rPr>
          <w:snapToGrid w:val="0"/>
        </w:rPr>
      </w:pPr>
      <w:r>
        <w:rPr>
          <w:rFonts w:hint="eastAsia"/>
          <w:snapToGrid w:val="0"/>
        </w:rPr>
        <w:t>8.3 定植密度</w:t>
      </w:r>
    </w:p>
    <w:p w14:paraId="79558254">
      <w:pPr>
        <w:widowControl/>
        <w:ind w:firstLine="420" w:firstLineChars="200"/>
        <w:rPr>
          <w:snapToGrid w:val="0"/>
          <w:kern w:val="21"/>
        </w:rPr>
      </w:pPr>
      <w:r>
        <w:rPr>
          <w:rFonts w:hint="eastAsia"/>
          <w:snapToGrid w:val="0"/>
          <w:kern w:val="21"/>
        </w:rPr>
        <w:t>按照株行距40cm～50cm×60cm～70cm进行定植，每亩定植2000株～2500株。</w:t>
      </w:r>
    </w:p>
    <w:p w14:paraId="5FBA7F43">
      <w:pPr>
        <w:pStyle w:val="3"/>
        <w:rPr>
          <w:snapToGrid w:val="0"/>
        </w:rPr>
      </w:pPr>
      <w:r>
        <w:rPr>
          <w:rFonts w:hint="eastAsia"/>
          <w:snapToGrid w:val="0"/>
        </w:rPr>
        <w:t>8.4 定植方法</w:t>
      </w:r>
    </w:p>
    <w:p w14:paraId="6F231BA2">
      <w:pPr>
        <w:widowControl/>
        <w:ind w:firstLine="420" w:firstLineChars="200"/>
        <w:rPr>
          <w:snapToGrid w:val="0"/>
          <w:kern w:val="21"/>
        </w:rPr>
      </w:pPr>
      <w:r>
        <w:rPr>
          <w:rFonts w:hint="eastAsia"/>
          <w:snapToGrid w:val="0"/>
          <w:kern w:val="21"/>
        </w:rPr>
        <w:t>定植前1 d，将穴盘或营养钵浇透水。定植深度以子叶露出地面2 cm为宜。定植后及时浇定根水。</w:t>
      </w:r>
    </w:p>
    <w:p w14:paraId="743929CA">
      <w:pPr>
        <w:pStyle w:val="3"/>
        <w:rPr>
          <w:snapToGrid w:val="0"/>
        </w:rPr>
      </w:pPr>
      <w:r>
        <w:rPr>
          <w:rFonts w:hint="eastAsia"/>
          <w:snapToGrid w:val="0"/>
        </w:rPr>
        <w:t>8.5 间苗</w:t>
      </w:r>
    </w:p>
    <w:p w14:paraId="1EFFF13E">
      <w:pPr>
        <w:widowControl/>
        <w:ind w:firstLine="420" w:firstLineChars="200"/>
        <w:rPr>
          <w:snapToGrid w:val="0"/>
          <w:kern w:val="21"/>
        </w:rPr>
      </w:pPr>
      <w:r>
        <w:rPr>
          <w:rFonts w:hint="eastAsia"/>
          <w:snapToGrid w:val="0"/>
          <w:kern w:val="21"/>
        </w:rPr>
        <w:t>当幼苗长出2 - 3片真叶时，开始第一次间苗，主要是去除病弱苗、过密苗。当幼苗长到4 - 5片真叶时，进行第二次间苗。间苗过程中动作要尽量轻柔，避免损伤幼苗根系。</w:t>
      </w:r>
    </w:p>
    <w:p w14:paraId="4C71F9B4">
      <w:pPr>
        <w:pStyle w:val="13"/>
        <w:rPr>
          <w:snapToGrid w:val="0"/>
        </w:rPr>
      </w:pPr>
      <w:r>
        <w:rPr>
          <w:rFonts w:hint="eastAsia"/>
          <w:snapToGrid w:val="0"/>
        </w:rPr>
        <w:t>9 田间管理</w:t>
      </w:r>
    </w:p>
    <w:p w14:paraId="5B213635">
      <w:pPr>
        <w:pStyle w:val="3"/>
        <w:rPr>
          <w:snapToGrid w:val="0"/>
        </w:rPr>
      </w:pPr>
      <w:r>
        <w:rPr>
          <w:rFonts w:hint="eastAsia"/>
          <w:snapToGrid w:val="0"/>
        </w:rPr>
        <w:t>9.1 温度管理</w:t>
      </w:r>
    </w:p>
    <w:p w14:paraId="0FFEB042">
      <w:pPr>
        <w:widowControl/>
        <w:ind w:firstLine="420" w:firstLineChars="200"/>
        <w:rPr>
          <w:snapToGrid w:val="0"/>
          <w:kern w:val="21"/>
        </w:rPr>
      </w:pPr>
      <w:r>
        <w:rPr>
          <w:rFonts w:hint="eastAsia"/>
          <w:snapToGrid w:val="0"/>
          <w:kern w:val="21"/>
        </w:rPr>
        <w:t>定植后，白天温度保持在25</w:t>
      </w:r>
      <w:r>
        <w:rPr>
          <w:rFonts w:ascii="Times New Roman" w:hAnsi="Times New Roman"/>
          <w:snapToGrid w:val="0"/>
          <w:kern w:val="21"/>
        </w:rPr>
        <w:t>℃</w:t>
      </w:r>
      <w:r>
        <w:rPr>
          <w:rFonts w:hint="eastAsia"/>
          <w:snapToGrid w:val="0"/>
          <w:kern w:val="21"/>
        </w:rPr>
        <w:t>～3</w:t>
      </w:r>
      <w:r>
        <w:rPr>
          <w:rFonts w:ascii="Times New Roman" w:hAnsi="Times New Roman"/>
          <w:snapToGrid w:val="0"/>
          <w:kern w:val="21"/>
        </w:rPr>
        <w:t>0℃</w:t>
      </w:r>
      <w:r>
        <w:rPr>
          <w:rFonts w:hint="eastAsia" w:ascii="Times New Roman" w:hAnsi="Times New Roman"/>
          <w:snapToGrid w:val="0"/>
          <w:kern w:val="21"/>
        </w:rPr>
        <w:t>，</w:t>
      </w:r>
      <w:r>
        <w:rPr>
          <w:rFonts w:hint="eastAsia"/>
          <w:snapToGrid w:val="0"/>
          <w:kern w:val="21"/>
        </w:rPr>
        <w:t>夜间</w:t>
      </w:r>
      <w:r>
        <w:rPr>
          <w:rFonts w:ascii="Times New Roman" w:hAnsi="Times New Roman"/>
          <w:snapToGrid w:val="0"/>
          <w:kern w:val="21"/>
        </w:rPr>
        <w:t>15℃～20℃</w:t>
      </w:r>
      <w:r>
        <w:rPr>
          <w:rFonts w:hint="eastAsia"/>
          <w:snapToGrid w:val="0"/>
          <w:kern w:val="21"/>
        </w:rPr>
        <w:t>。缓苗后适当降低温度，白天</w:t>
      </w:r>
      <w:r>
        <w:rPr>
          <w:rFonts w:ascii="Times New Roman" w:hAnsi="Times New Roman"/>
          <w:snapToGrid w:val="0"/>
          <w:kern w:val="21"/>
        </w:rPr>
        <w:t>20℃～25℃</w:t>
      </w:r>
      <w:r>
        <w:rPr>
          <w:rFonts w:hint="eastAsia"/>
          <w:snapToGrid w:val="0"/>
          <w:kern w:val="21"/>
        </w:rPr>
        <w:t>，夜间</w:t>
      </w:r>
      <w:r>
        <w:rPr>
          <w:rFonts w:ascii="Times New Roman" w:hAnsi="Times New Roman"/>
          <w:snapToGrid w:val="0"/>
          <w:kern w:val="21"/>
        </w:rPr>
        <w:t>12℃～15℃</w:t>
      </w:r>
      <w:r>
        <w:rPr>
          <w:rFonts w:hint="eastAsia"/>
          <w:snapToGrid w:val="0"/>
          <w:kern w:val="21"/>
        </w:rPr>
        <w:t>。开花结果期，白天</w:t>
      </w:r>
      <w:r>
        <w:rPr>
          <w:rFonts w:ascii="Times New Roman" w:hAnsi="Times New Roman"/>
          <w:snapToGrid w:val="0"/>
          <w:kern w:val="21"/>
        </w:rPr>
        <w:t>25℃～30℃</w:t>
      </w:r>
      <w:r>
        <w:rPr>
          <w:rFonts w:hint="eastAsia"/>
          <w:snapToGrid w:val="0"/>
          <w:kern w:val="21"/>
        </w:rPr>
        <w:t>，夜间</w:t>
      </w:r>
      <w:r>
        <w:rPr>
          <w:rFonts w:ascii="Times New Roman" w:hAnsi="Times New Roman"/>
          <w:snapToGrid w:val="0"/>
          <w:kern w:val="21"/>
        </w:rPr>
        <w:t>15℃～20℃</w:t>
      </w:r>
      <w:r>
        <w:rPr>
          <w:rFonts w:hint="eastAsia"/>
          <w:snapToGrid w:val="0"/>
          <w:kern w:val="21"/>
        </w:rPr>
        <w:t>。通过通风、遮阳、覆盖等措施调节温室内温度。</w:t>
      </w:r>
    </w:p>
    <w:p w14:paraId="6A23CDED">
      <w:pPr>
        <w:pStyle w:val="3"/>
        <w:rPr>
          <w:snapToGrid w:val="0"/>
        </w:rPr>
      </w:pPr>
      <w:r>
        <w:rPr>
          <w:rFonts w:hint="eastAsia"/>
          <w:snapToGrid w:val="0"/>
        </w:rPr>
        <w:t>9.2 湿度管理</w:t>
      </w:r>
    </w:p>
    <w:p w14:paraId="2BA6D1AE">
      <w:pPr>
        <w:widowControl/>
        <w:ind w:firstLine="420" w:firstLineChars="200"/>
        <w:rPr>
          <w:snapToGrid w:val="0"/>
          <w:kern w:val="21"/>
        </w:rPr>
      </w:pPr>
      <w:r>
        <w:rPr>
          <w:rFonts w:hint="eastAsia"/>
          <w:snapToGrid w:val="0"/>
          <w:kern w:val="21"/>
        </w:rPr>
        <w:t>保持空气相对湿度为60%～80%。在浇水后及时通风降湿，避免湿度过高引发病害。在连续阴雨天，可通过在温室内放置生石灰等吸湿材料或者通除湿器等降低室内湿度。</w:t>
      </w:r>
    </w:p>
    <w:p w14:paraId="43BFB175">
      <w:pPr>
        <w:pStyle w:val="3"/>
        <w:rPr>
          <w:snapToGrid w:val="0"/>
        </w:rPr>
      </w:pPr>
      <w:r>
        <w:rPr>
          <w:rFonts w:hint="eastAsia"/>
          <w:snapToGrid w:val="0"/>
        </w:rPr>
        <w:t>9.3 光照管理</w:t>
      </w:r>
    </w:p>
    <w:p w14:paraId="608BA5B6">
      <w:pPr>
        <w:widowControl/>
        <w:ind w:firstLine="420" w:firstLineChars="200"/>
        <w:rPr>
          <w:snapToGrid w:val="0"/>
          <w:kern w:val="21"/>
        </w:rPr>
      </w:pPr>
      <w:r>
        <w:rPr>
          <w:rFonts w:hint="eastAsia"/>
          <w:snapToGrid w:val="0"/>
          <w:kern w:val="21"/>
        </w:rPr>
        <w:t>保持温室薄膜干洁，增加透光率。在光照过强时，可采用遮阳网进行遮阳，避免强光灼伤植株。在冬季光照不足时，可采用补光灯进行补光。</w:t>
      </w:r>
    </w:p>
    <w:p w14:paraId="794DFAB6">
      <w:pPr>
        <w:pStyle w:val="3"/>
        <w:rPr>
          <w:snapToGrid w:val="0"/>
        </w:rPr>
      </w:pPr>
      <w:r>
        <w:rPr>
          <w:rFonts w:hint="eastAsia"/>
          <w:snapToGrid w:val="0"/>
        </w:rPr>
        <w:t>9.4 水肥管理</w:t>
      </w:r>
    </w:p>
    <w:p w14:paraId="2980A1BD">
      <w:pPr>
        <w:ind w:firstLine="420" w:firstLineChars="200"/>
        <w:rPr>
          <w:rFonts w:ascii="Times New Roman" w:hAnsi="Times New Roman" w:eastAsiaTheme="minorEastAsia" w:cstheme="minorEastAsia"/>
        </w:rPr>
      </w:pPr>
      <w:r>
        <w:rPr>
          <w:rFonts w:hint="eastAsia" w:eastAsiaTheme="minorEastAsia" w:cstheme="minorEastAsia"/>
        </w:rPr>
        <w:t>定植后2</w:t>
      </w:r>
      <w:r>
        <w:rPr>
          <w:rFonts w:hint="eastAsia" w:ascii="Times New Roman" w:hAnsi="Times New Roman" w:eastAsiaTheme="minorEastAsia" w:cstheme="minorEastAsia"/>
        </w:rPr>
        <w:t>d</w:t>
      </w:r>
      <w:r>
        <w:rPr>
          <w:rFonts w:hint="eastAsia" w:ascii="Times New Roman" w:hAnsi="Times New Roman"/>
          <w:szCs w:val="21"/>
        </w:rPr>
        <w:t>～</w:t>
      </w:r>
      <w:r>
        <w:rPr>
          <w:rFonts w:hint="eastAsia" w:ascii="Times New Roman" w:hAnsi="Times New Roman" w:eastAsiaTheme="minorEastAsia" w:cstheme="minorEastAsia"/>
        </w:rPr>
        <w:t>7d浇 1 次缓苗水，开花坐果期</w:t>
      </w:r>
      <w:r>
        <w:rPr>
          <w:rFonts w:hint="eastAsia" w:eastAsiaTheme="minorEastAsia" w:cstheme="minorEastAsia"/>
        </w:rPr>
        <w:t>和</w:t>
      </w:r>
      <w:r>
        <w:rPr>
          <w:rFonts w:hint="eastAsia" w:ascii="Times New Roman" w:hAnsi="Times New Roman" w:eastAsiaTheme="minorEastAsia" w:cstheme="minorEastAsia"/>
        </w:rPr>
        <w:t>盛果期应保持土壤湿润，农田灌溉水应符合NY/T 391</w:t>
      </w:r>
      <w:r>
        <w:rPr>
          <w:rFonts w:hint="eastAsia" w:ascii="Times New Roman" w:hAnsi="Times New Roman" w:cstheme="minorEastAsia"/>
        </w:rPr>
        <w:t xml:space="preserve"> </w:t>
      </w:r>
      <w:r>
        <w:rPr>
          <w:rFonts w:hint="eastAsia" w:ascii="Times New Roman" w:hAnsi="Times New Roman" w:eastAsiaTheme="minorEastAsia" w:cstheme="minorEastAsia"/>
        </w:rPr>
        <w:t>的规定。</w:t>
      </w:r>
    </w:p>
    <w:p w14:paraId="4D115F56">
      <w:pPr>
        <w:ind w:firstLine="420" w:firstLineChars="200"/>
        <w:rPr>
          <w:rFonts w:ascii="Times New Roman" w:hAnsi="Times New Roman" w:eastAsiaTheme="minorEastAsia" w:cstheme="minorEastAsia"/>
          <w:color w:val="C00000"/>
        </w:rPr>
      </w:pPr>
      <w:r>
        <w:rPr>
          <w:rFonts w:hint="eastAsia" w:ascii="Times New Roman" w:hAnsi="Times New Roman" w:eastAsiaTheme="minorEastAsia" w:cstheme="minorEastAsia"/>
        </w:rPr>
        <w:t>结合浇水，实施水肥一体化管理。缓苗定植后5d</w:t>
      </w:r>
      <w:r>
        <w:rPr>
          <w:rFonts w:hint="eastAsia" w:ascii="Times New Roman" w:hAnsi="Times New Roman"/>
          <w:szCs w:val="21"/>
        </w:rPr>
        <w:t>～</w:t>
      </w:r>
      <w:r>
        <w:rPr>
          <w:rFonts w:hint="eastAsia" w:ascii="Times New Roman" w:hAnsi="Times New Roman" w:eastAsiaTheme="minorEastAsia" w:cstheme="minorEastAsia"/>
        </w:rPr>
        <w:t>7d</w:t>
      </w:r>
      <w:r>
        <w:rPr>
          <w:rFonts w:hint="eastAsia"/>
        </w:rPr>
        <w:t>每亩</w:t>
      </w:r>
      <w:r>
        <w:rPr>
          <w:rFonts w:hint="eastAsia" w:ascii="Times New Roman" w:hAnsi="Times New Roman" w:eastAsiaTheme="minorEastAsia" w:cstheme="minorEastAsia"/>
        </w:rPr>
        <w:t>追施</w:t>
      </w:r>
      <w:r>
        <w:rPr>
          <w:rFonts w:hint="eastAsia"/>
        </w:rPr>
        <w:t>尿素3 kg～5 kg，</w:t>
      </w:r>
      <w:r>
        <w:rPr>
          <w:rFonts w:hint="eastAsia" w:ascii="Times New Roman" w:hAnsi="Times New Roman" w:eastAsiaTheme="minorEastAsia" w:cstheme="minorEastAsia"/>
        </w:rPr>
        <w:t>开花前第二次追肥，每</w:t>
      </w:r>
      <w:r>
        <w:rPr>
          <w:rFonts w:hint="eastAsia" w:eastAsiaTheme="minorEastAsia" w:cstheme="minorEastAsia"/>
        </w:rPr>
        <w:t>亩</w:t>
      </w:r>
      <w:r>
        <w:rPr>
          <w:rFonts w:hint="eastAsia" w:ascii="Times New Roman" w:hAnsi="Times New Roman" w:eastAsiaTheme="minorEastAsia" w:cstheme="minorEastAsia"/>
        </w:rPr>
        <w:t>追施复合型肥料</w:t>
      </w:r>
      <w:r>
        <w:rPr>
          <w:rFonts w:ascii="Times New Roman" w:hAnsi="Times New Roman"/>
          <w:szCs w:val="21"/>
        </w:rPr>
        <w:t>（N</w:t>
      </w:r>
      <w:r>
        <w:rPr>
          <w:rFonts w:hint="eastAsia"/>
          <w:szCs w:val="21"/>
        </w:rPr>
        <w:t>:</w:t>
      </w:r>
      <w:r>
        <w:rPr>
          <w:rFonts w:ascii="Times New Roman" w:hAnsi="Times New Roman"/>
          <w:szCs w:val="21"/>
        </w:rPr>
        <w:t>P</w:t>
      </w:r>
      <w:r>
        <w:rPr>
          <w:rFonts w:hint="eastAsia"/>
          <w:szCs w:val="21"/>
        </w:rPr>
        <w:t>:</w:t>
      </w:r>
      <w:r>
        <w:rPr>
          <w:rFonts w:ascii="Times New Roman" w:hAnsi="Times New Roman"/>
          <w:szCs w:val="21"/>
        </w:rPr>
        <w:t>K=15:15:15）</w:t>
      </w:r>
      <w:r>
        <w:rPr>
          <w:rFonts w:hint="eastAsia" w:ascii="Times New Roman" w:hAnsi="Times New Roman" w:eastAsiaTheme="minorEastAsia" w:cstheme="minorEastAsia"/>
        </w:rPr>
        <w:t>15kg。进入结果盛期注意追施高钾复合型肥料</w:t>
      </w:r>
      <w:r>
        <w:rPr>
          <w:rFonts w:ascii="Times New Roman" w:hAnsi="Times New Roman"/>
          <w:szCs w:val="21"/>
        </w:rPr>
        <w:t>（N</w:t>
      </w:r>
      <w:r>
        <w:rPr>
          <w:rFonts w:hint="eastAsia"/>
          <w:szCs w:val="21"/>
        </w:rPr>
        <w:t>:</w:t>
      </w:r>
      <w:r>
        <w:rPr>
          <w:rFonts w:ascii="Times New Roman" w:hAnsi="Times New Roman"/>
          <w:szCs w:val="21"/>
        </w:rPr>
        <w:t>P</w:t>
      </w:r>
      <w:r>
        <w:rPr>
          <w:rFonts w:hint="eastAsia"/>
          <w:szCs w:val="21"/>
        </w:rPr>
        <w:t>:</w:t>
      </w:r>
      <w:r>
        <w:rPr>
          <w:rFonts w:ascii="Times New Roman" w:hAnsi="Times New Roman"/>
          <w:szCs w:val="21"/>
        </w:rPr>
        <w:t>K=15:</w:t>
      </w:r>
      <w:r>
        <w:rPr>
          <w:rFonts w:hint="eastAsia" w:ascii="Times New Roman" w:hAnsi="Times New Roman"/>
          <w:szCs w:val="21"/>
        </w:rPr>
        <w:t>5</w:t>
      </w:r>
      <w:r>
        <w:rPr>
          <w:rFonts w:ascii="Times New Roman" w:hAnsi="Times New Roman"/>
          <w:szCs w:val="21"/>
        </w:rPr>
        <w:t>:</w:t>
      </w:r>
      <w:r>
        <w:rPr>
          <w:rFonts w:hint="eastAsia" w:ascii="Times New Roman" w:hAnsi="Times New Roman"/>
          <w:szCs w:val="21"/>
        </w:rPr>
        <w:t>30</w:t>
      </w:r>
      <w:r>
        <w:rPr>
          <w:rFonts w:ascii="Times New Roman" w:hAnsi="Times New Roman"/>
          <w:szCs w:val="21"/>
        </w:rPr>
        <w:t>）</w:t>
      </w:r>
      <w:r>
        <w:rPr>
          <w:rFonts w:hint="eastAsia" w:ascii="Times New Roman" w:hAnsi="Times New Roman" w:eastAsiaTheme="minorEastAsia" w:cstheme="minorEastAsia"/>
        </w:rPr>
        <w:t>，</w:t>
      </w:r>
      <w:r>
        <w:rPr>
          <w:rFonts w:hint="eastAsia" w:eastAsiaTheme="minorEastAsia" w:cstheme="minorEastAsia"/>
        </w:rPr>
        <w:t>每10d</w:t>
      </w:r>
      <w:r>
        <w:rPr>
          <w:rFonts w:hint="eastAsia" w:ascii="Times New Roman" w:hAnsi="Times New Roman" w:eastAsiaTheme="minorEastAsia" w:cstheme="minorEastAsia"/>
        </w:rPr>
        <w:t>追</w:t>
      </w:r>
      <w:r>
        <w:rPr>
          <w:rFonts w:hint="eastAsia" w:eastAsiaTheme="minorEastAsia" w:cstheme="minorEastAsia"/>
        </w:rPr>
        <w:t>一次</w:t>
      </w:r>
      <w:r>
        <w:rPr>
          <w:rFonts w:hint="eastAsia" w:ascii="Times New Roman" w:hAnsi="Times New Roman" w:eastAsiaTheme="minorEastAsia" w:cstheme="minorEastAsia"/>
        </w:rPr>
        <w:t>复合型肥料</w:t>
      </w:r>
      <w:r>
        <w:rPr>
          <w:rFonts w:ascii="Times New Roman" w:hAnsi="Times New Roman"/>
          <w:szCs w:val="21"/>
        </w:rPr>
        <w:t>（N</w:t>
      </w:r>
      <w:r>
        <w:rPr>
          <w:rFonts w:hint="eastAsia"/>
          <w:szCs w:val="21"/>
        </w:rPr>
        <w:t>:</w:t>
      </w:r>
      <w:r>
        <w:rPr>
          <w:rFonts w:ascii="Times New Roman" w:hAnsi="Times New Roman"/>
          <w:szCs w:val="21"/>
        </w:rPr>
        <w:t>P</w:t>
      </w:r>
      <w:r>
        <w:rPr>
          <w:rFonts w:hint="eastAsia"/>
          <w:szCs w:val="21"/>
        </w:rPr>
        <w:t>:</w:t>
      </w:r>
      <w:r>
        <w:rPr>
          <w:rFonts w:ascii="Times New Roman" w:hAnsi="Times New Roman"/>
          <w:szCs w:val="21"/>
        </w:rPr>
        <w:t>K=15:15:15）</w:t>
      </w:r>
      <w:r>
        <w:rPr>
          <w:rFonts w:hint="eastAsia" w:ascii="Times New Roman" w:hAnsi="Times New Roman"/>
          <w:szCs w:val="21"/>
        </w:rPr>
        <w:t>，</w:t>
      </w:r>
      <w:r>
        <w:rPr>
          <w:rFonts w:hint="eastAsia" w:ascii="Times New Roman" w:hAnsi="Times New Roman" w:eastAsiaTheme="minorEastAsia" w:cstheme="minorEastAsia"/>
        </w:rPr>
        <w:t>每</w:t>
      </w:r>
      <w:r>
        <w:rPr>
          <w:rFonts w:hint="eastAsia" w:eastAsiaTheme="minorEastAsia" w:cstheme="minorEastAsia"/>
        </w:rPr>
        <w:t>亩</w:t>
      </w:r>
      <w:r>
        <w:rPr>
          <w:rFonts w:hint="eastAsia" w:ascii="Times New Roman" w:hAnsi="Times New Roman" w:eastAsiaTheme="minorEastAsia" w:cstheme="minorEastAsia"/>
        </w:rPr>
        <w:t>用</w:t>
      </w:r>
      <w:r>
        <w:rPr>
          <w:rFonts w:hint="eastAsia" w:eastAsiaTheme="minorEastAsia" w:cstheme="minorEastAsia"/>
        </w:rPr>
        <w:t>15</w:t>
      </w:r>
      <w:r>
        <w:rPr>
          <w:rFonts w:hint="eastAsia" w:ascii="Times New Roman" w:hAnsi="Times New Roman" w:eastAsiaTheme="minorEastAsia" w:cstheme="minorEastAsia"/>
        </w:rPr>
        <w:t>kg～</w:t>
      </w:r>
      <w:r>
        <w:rPr>
          <w:rFonts w:hint="eastAsia" w:eastAsiaTheme="minorEastAsia" w:cstheme="minorEastAsia"/>
        </w:rPr>
        <w:t>20</w:t>
      </w:r>
      <w:r>
        <w:rPr>
          <w:rFonts w:hint="eastAsia" w:ascii="Times New Roman" w:hAnsi="Times New Roman" w:eastAsiaTheme="minorEastAsia" w:cstheme="minorEastAsia"/>
        </w:rPr>
        <w:t>kg。生长后期用0.3%磷酸</w:t>
      </w:r>
      <w:r>
        <w:rPr>
          <w:rFonts w:hint="eastAsia"/>
        </w:rPr>
        <w:t>二</w:t>
      </w:r>
      <w:r>
        <w:rPr>
          <w:rFonts w:hint="eastAsia" w:ascii="Times New Roman" w:hAnsi="Times New Roman" w:eastAsiaTheme="minorEastAsia" w:cstheme="minorEastAsia"/>
        </w:rPr>
        <w:t>氢钾溶液喷施叶面肥，每间隔一个星期一次，连续喷2次～3次，防止植株早衰，</w:t>
      </w:r>
      <w:r>
        <w:rPr>
          <w:rFonts w:hint="eastAsia" w:ascii="Times New Roman" w:hAnsi="Times New Roman" w:eastAsiaTheme="minorEastAsia" w:cstheme="minorEastAsia"/>
          <w:szCs w:val="21"/>
        </w:rPr>
        <w:t>肥料应</w:t>
      </w:r>
      <w:r>
        <w:rPr>
          <w:rFonts w:ascii="Times New Roman" w:hAnsi="Times New Roman" w:eastAsiaTheme="minorEastAsia" w:cstheme="minorEastAsia"/>
          <w:szCs w:val="21"/>
        </w:rPr>
        <w:t>符合</w:t>
      </w:r>
      <w:r>
        <w:rPr>
          <w:rFonts w:hint="eastAsia" w:ascii="Times New Roman" w:hAnsi="Times New Roman" w:eastAsiaTheme="minorEastAsia" w:cstheme="minorEastAsia"/>
          <w:szCs w:val="21"/>
        </w:rPr>
        <w:t>NY/T 394的</w:t>
      </w:r>
      <w:r>
        <w:rPr>
          <w:rFonts w:ascii="Times New Roman" w:hAnsi="Times New Roman" w:eastAsiaTheme="minorEastAsia" w:cstheme="minorEastAsia"/>
          <w:szCs w:val="21"/>
        </w:rPr>
        <w:t>规定。</w:t>
      </w:r>
    </w:p>
    <w:p w14:paraId="412FB516">
      <w:pPr>
        <w:pStyle w:val="3"/>
        <w:rPr>
          <w:snapToGrid w:val="0"/>
        </w:rPr>
      </w:pPr>
      <w:r>
        <w:rPr>
          <w:rFonts w:hint="eastAsia"/>
          <w:snapToGrid w:val="0"/>
        </w:rPr>
        <w:t>9.5 植株管理</w:t>
      </w:r>
    </w:p>
    <w:p w14:paraId="403F8859">
      <w:pPr>
        <w:widowControl/>
        <w:ind w:firstLine="420" w:firstLineChars="200"/>
        <w:rPr>
          <w:snapToGrid w:val="0"/>
          <w:kern w:val="21"/>
        </w:rPr>
      </w:pPr>
      <w:r>
        <w:rPr>
          <w:rFonts w:hint="eastAsia"/>
          <w:snapToGrid w:val="0"/>
          <w:kern w:val="21"/>
        </w:rPr>
        <w:t>在秋葵生长过程中，及时摘除侧枝、老叶、黄叶和病叶，保持植株通风透光。秋葵植株长到30cm～50cm时，需要进行吊蔓或搭架，秋葵植株一般长到100cm～150cm左右时摘心，防止倒伏和无限生长。</w:t>
      </w:r>
    </w:p>
    <w:p w14:paraId="75BACB96">
      <w:pPr>
        <w:pStyle w:val="13"/>
        <w:rPr>
          <w:snapToGrid w:val="0"/>
        </w:rPr>
      </w:pPr>
      <w:r>
        <w:rPr>
          <w:rFonts w:hint="eastAsia"/>
          <w:snapToGrid w:val="0"/>
        </w:rPr>
        <w:t>10 病虫害防治</w:t>
      </w:r>
    </w:p>
    <w:p w14:paraId="00CCC98A">
      <w:pPr>
        <w:pStyle w:val="3"/>
      </w:pPr>
      <w:r>
        <w:rPr>
          <w:rFonts w:hint="eastAsia"/>
        </w:rPr>
        <w:t>10.1 防治原则</w:t>
      </w:r>
    </w:p>
    <w:p w14:paraId="2C546B1E">
      <w:pPr>
        <w:widowControl/>
        <w:ind w:firstLine="420" w:firstLineChars="200"/>
      </w:pPr>
      <w:r>
        <w:rPr>
          <w:rFonts w:hint="eastAsia"/>
          <w:snapToGrid w:val="0"/>
          <w:kern w:val="21"/>
        </w:rPr>
        <w:t>按照“预防为主、综合防治”的植保方针，在做好种子检疫和病虫害田间监测的基础上，针对秋葵不同生育期主要病虫害发生特点，优先采用农业措施、物理防治、生物防治，辅之以科学合理的化学防治的绿色防控技术，实现秋葵病虫害绿色防控和优质安全生产。</w:t>
      </w:r>
    </w:p>
    <w:p w14:paraId="38DF1F6D">
      <w:pPr>
        <w:pStyle w:val="3"/>
      </w:pPr>
      <w:r>
        <w:rPr>
          <w:rFonts w:hint="eastAsia"/>
        </w:rPr>
        <w:t>10.2 主要病虫害</w:t>
      </w:r>
    </w:p>
    <w:p w14:paraId="3655D3B5">
      <w:pPr>
        <w:widowControl/>
        <w:ind w:firstLine="420" w:firstLineChars="200"/>
        <w:rPr>
          <w:snapToGrid w:val="0"/>
          <w:kern w:val="21"/>
        </w:rPr>
      </w:pPr>
      <w:r>
        <w:rPr>
          <w:rFonts w:hint="eastAsia"/>
          <w:snapToGrid w:val="0"/>
          <w:kern w:val="21"/>
        </w:rPr>
        <w:t>常见病害有灰霉病；常见虫害有蚜虫、蓟马、棉铃虫等。</w:t>
      </w:r>
    </w:p>
    <w:p w14:paraId="1755843F">
      <w:pPr>
        <w:pStyle w:val="3"/>
        <w:rPr>
          <w:snapToGrid w:val="0"/>
        </w:rPr>
      </w:pPr>
      <w:r>
        <w:rPr>
          <w:rFonts w:hint="eastAsia"/>
          <w:snapToGrid w:val="0"/>
        </w:rPr>
        <w:t>10.</w:t>
      </w:r>
      <w:r>
        <w:rPr>
          <w:snapToGrid w:val="0"/>
        </w:rPr>
        <w:t>3</w:t>
      </w:r>
      <w:r>
        <w:rPr>
          <w:rFonts w:hint="eastAsia"/>
          <w:snapToGrid w:val="0"/>
        </w:rPr>
        <w:t xml:space="preserve"> 防治措施</w:t>
      </w:r>
    </w:p>
    <w:p w14:paraId="2BF94D6C">
      <w:pPr>
        <w:pStyle w:val="4"/>
      </w:pPr>
      <w:r>
        <w:rPr>
          <w:rFonts w:hint="eastAsia"/>
        </w:rPr>
        <w:t>10.3.1农业防治</w:t>
      </w:r>
    </w:p>
    <w:p w14:paraId="519479EF">
      <w:pPr>
        <w:widowControl/>
        <w:ind w:firstLine="420" w:firstLineChars="200"/>
        <w:rPr>
          <w:snapToGrid w:val="0"/>
          <w:kern w:val="21"/>
        </w:rPr>
      </w:pPr>
      <w:r>
        <w:rPr>
          <w:rFonts w:hint="eastAsia"/>
          <w:snapToGrid w:val="0"/>
          <w:kern w:val="21"/>
        </w:rPr>
        <w:t>实行轮作倒茬，避免连作。选用抗病品种，增强植株的抗病能力。清洁田园，及时清除病残体和杂草，减少病虫害的滋生和传播。</w:t>
      </w:r>
    </w:p>
    <w:p w14:paraId="4E305929">
      <w:pPr>
        <w:pStyle w:val="4"/>
      </w:pPr>
      <w:r>
        <w:rPr>
          <w:rFonts w:hint="eastAsia"/>
        </w:rPr>
        <w:t>10.</w:t>
      </w:r>
      <w:r>
        <w:t>3.2</w:t>
      </w:r>
      <w:r>
        <w:rPr>
          <w:rFonts w:hint="eastAsia"/>
        </w:rPr>
        <w:t xml:space="preserve"> 物理防治</w:t>
      </w:r>
    </w:p>
    <w:p w14:paraId="46B23369">
      <w:pPr>
        <w:pStyle w:val="4"/>
      </w:pPr>
      <w:r>
        <w:rPr>
          <w:rFonts w:hint="eastAsia"/>
        </w:rPr>
        <w:t>10.</w:t>
      </w:r>
      <w:r>
        <w:t>3.2</w:t>
      </w:r>
      <w:r>
        <w:rPr>
          <w:rFonts w:hint="eastAsia"/>
        </w:rPr>
        <w:t>.1 防虫网覆盖</w:t>
      </w:r>
    </w:p>
    <w:p w14:paraId="6E5CCFF4">
      <w:pPr>
        <w:widowControl/>
        <w:ind w:firstLine="420" w:firstLineChars="200"/>
        <w:rPr>
          <w:snapToGrid w:val="0"/>
          <w:kern w:val="21"/>
        </w:rPr>
      </w:pPr>
      <w:r>
        <w:rPr>
          <w:rFonts w:hint="eastAsia"/>
          <w:snapToGrid w:val="0"/>
          <w:kern w:val="21"/>
        </w:rPr>
        <w:t>在秋葵种植区域搭建防虫网棚，使用50目～80目的防虫网，可有效阻隔害虫进入田间，减少害虫的危害。同时，还能防止害虫传播病毒等病害。</w:t>
      </w:r>
    </w:p>
    <w:p w14:paraId="63E90062">
      <w:pPr>
        <w:pStyle w:val="4"/>
      </w:pPr>
      <w:r>
        <w:rPr>
          <w:rFonts w:hint="eastAsia"/>
        </w:rPr>
        <w:t>10.</w:t>
      </w:r>
      <w:r>
        <w:t>3.2</w:t>
      </w:r>
      <w:r>
        <w:rPr>
          <w:rFonts w:hint="eastAsia"/>
        </w:rPr>
        <w:t>.2 粘虫板诱杀</w:t>
      </w:r>
    </w:p>
    <w:p w14:paraId="1228C74F">
      <w:pPr>
        <w:widowControl/>
        <w:ind w:firstLine="420" w:firstLineChars="200"/>
        <w:rPr>
          <w:snapToGrid w:val="0"/>
          <w:kern w:val="21"/>
        </w:rPr>
      </w:pPr>
      <w:r>
        <w:rPr>
          <w:rFonts w:hint="eastAsia"/>
          <w:snapToGrid w:val="0"/>
          <w:kern w:val="21"/>
        </w:rPr>
        <w:t>利用害虫的趋黄性，悬挂黄色粘虫板诱杀蚜虫、粉虱等害虫。在秋葵定植后7d～10d开始悬挂粘虫板，生长初期粘虫板底部高出植株顶端20cm左右，生长中后期悬挂在植株中上部，每亩放置30片左右，定期更换粘满害虫的粘虫板。</w:t>
      </w:r>
    </w:p>
    <w:p w14:paraId="4794FF75">
      <w:pPr>
        <w:pStyle w:val="4"/>
      </w:pPr>
      <w:r>
        <w:rPr>
          <w:rFonts w:hint="eastAsia"/>
        </w:rPr>
        <w:t>10.</w:t>
      </w:r>
      <w:r>
        <w:t>3.2</w:t>
      </w:r>
      <w:r>
        <w:rPr>
          <w:rFonts w:hint="eastAsia"/>
        </w:rPr>
        <w:t>.3 灯光诱杀</w:t>
      </w:r>
    </w:p>
    <w:p w14:paraId="2C74083D">
      <w:pPr>
        <w:widowControl/>
        <w:ind w:firstLine="420" w:firstLineChars="200"/>
        <w:rPr>
          <w:snapToGrid w:val="0"/>
          <w:kern w:val="21"/>
        </w:rPr>
      </w:pPr>
      <w:r>
        <w:rPr>
          <w:rFonts w:hint="eastAsia"/>
          <w:snapToGrid w:val="0"/>
          <w:kern w:val="21"/>
        </w:rPr>
        <w:t>在田间安装黑光灯、频振式杀虫灯等诱杀装置，利用害虫的趋光性，诱杀夜蛾、金龟子等害虫。一般在夜间开启诱杀装置，可有效降低害虫的虫口密度。</w:t>
      </w:r>
    </w:p>
    <w:p w14:paraId="386EA3FE">
      <w:pPr>
        <w:pStyle w:val="4"/>
      </w:pPr>
      <w:r>
        <w:rPr>
          <w:rFonts w:hint="eastAsia"/>
        </w:rPr>
        <w:t>10.</w:t>
      </w:r>
      <w:r>
        <w:t>3.3</w:t>
      </w:r>
      <w:r>
        <w:rPr>
          <w:rFonts w:hint="eastAsia"/>
        </w:rPr>
        <w:t xml:space="preserve"> 生物防治</w:t>
      </w:r>
    </w:p>
    <w:p w14:paraId="0583EAC9">
      <w:pPr>
        <w:widowControl/>
        <w:ind w:firstLine="420" w:firstLineChars="200"/>
        <w:rPr>
          <w:snapToGrid w:val="0"/>
          <w:kern w:val="21"/>
        </w:rPr>
      </w:pPr>
      <w:r>
        <w:rPr>
          <w:rFonts w:hint="eastAsia"/>
          <w:snapToGrid w:val="0"/>
          <w:kern w:val="21"/>
        </w:rPr>
        <w:t>释放天敌，如赤眼蜂防治棉铃虫，捕食螨防治叶螨等。使用生物农药，如苏云金芽孢杆菌、阿维菌素等防治病虫害。</w:t>
      </w:r>
    </w:p>
    <w:p w14:paraId="6F7213FA">
      <w:pPr>
        <w:pStyle w:val="4"/>
      </w:pPr>
      <w:r>
        <w:rPr>
          <w:rFonts w:hint="eastAsia"/>
        </w:rPr>
        <w:t>10.</w:t>
      </w:r>
      <w:r>
        <w:t>3.4</w:t>
      </w:r>
      <w:r>
        <w:rPr>
          <w:rFonts w:hint="eastAsia"/>
        </w:rPr>
        <w:t xml:space="preserve"> 化学防治</w:t>
      </w:r>
    </w:p>
    <w:p w14:paraId="6AF6C526">
      <w:pPr>
        <w:widowControl/>
        <w:ind w:firstLine="420" w:firstLineChars="200"/>
        <w:rPr>
          <w:snapToGrid w:val="0"/>
          <w:kern w:val="21"/>
        </w:rPr>
      </w:pPr>
      <w:r>
        <w:rPr>
          <w:rFonts w:hint="eastAsia"/>
          <w:snapToGrid w:val="0"/>
          <w:kern w:val="21"/>
        </w:rPr>
        <w:t>农药使用应符合NY/T 393的规定。绿色食品</w:t>
      </w:r>
      <w:r>
        <w:rPr>
          <w:snapToGrid w:val="0"/>
          <w:kern w:val="21"/>
        </w:rPr>
        <w:t>秋葵</w:t>
      </w:r>
      <w:r>
        <w:rPr>
          <w:rFonts w:hint="eastAsia"/>
          <w:snapToGrid w:val="0"/>
          <w:kern w:val="21"/>
        </w:rPr>
        <w:t>生产主要</w:t>
      </w:r>
      <w:r>
        <w:rPr>
          <w:snapToGrid w:val="0"/>
          <w:kern w:val="21"/>
        </w:rPr>
        <w:t>病虫害</w:t>
      </w:r>
      <w:r>
        <w:rPr>
          <w:rFonts w:hint="eastAsia"/>
          <w:snapToGrid w:val="0"/>
          <w:kern w:val="21"/>
        </w:rPr>
        <w:t>防治</w:t>
      </w:r>
      <w:r>
        <w:rPr>
          <w:snapToGrid w:val="0"/>
          <w:kern w:val="21"/>
        </w:rPr>
        <w:t>推荐</w:t>
      </w:r>
      <w:r>
        <w:rPr>
          <w:rFonts w:hint="eastAsia"/>
          <w:snapToGrid w:val="0"/>
          <w:kern w:val="21"/>
        </w:rPr>
        <w:t>农药</w:t>
      </w:r>
      <w:r>
        <w:rPr>
          <w:snapToGrid w:val="0"/>
          <w:kern w:val="21"/>
        </w:rPr>
        <w:t>使用方案参见附录</w:t>
      </w:r>
      <w:r>
        <w:rPr>
          <w:rFonts w:hint="eastAsia"/>
          <w:snapToGrid w:val="0"/>
          <w:kern w:val="21"/>
        </w:rPr>
        <w:t>A。</w:t>
      </w:r>
    </w:p>
    <w:p w14:paraId="5E664C85">
      <w:pPr>
        <w:pStyle w:val="13"/>
        <w:rPr>
          <w:rFonts w:ascii="Times New Roman" w:hAnsi="Times New Roman"/>
        </w:rPr>
      </w:pPr>
      <w:r>
        <w:rPr>
          <w:rFonts w:hint="eastAsia"/>
        </w:rPr>
        <w:t xml:space="preserve">11 </w:t>
      </w:r>
      <w:r>
        <w:rPr>
          <w:rFonts w:hint="eastAsia" w:ascii="Times New Roman" w:hAnsi="Times New Roman"/>
        </w:rPr>
        <w:t>采收</w:t>
      </w:r>
    </w:p>
    <w:p w14:paraId="2FD4CCE1">
      <w:pPr>
        <w:pStyle w:val="3"/>
        <w:rPr>
          <w:rFonts w:eastAsiaTheme="minorEastAsia" w:cstheme="minorEastAsia"/>
        </w:rPr>
      </w:pPr>
      <w:r>
        <w:rPr>
          <w:rFonts w:hint="eastAsia"/>
        </w:rPr>
        <w:t>11.1 采收标准</w:t>
      </w:r>
    </w:p>
    <w:p w14:paraId="7C60446F">
      <w:pPr>
        <w:ind w:firstLine="420" w:firstLineChars="200"/>
        <w:rPr>
          <w:rFonts w:ascii="Times New Roman" w:hAnsi="Times New Roman"/>
          <w:szCs w:val="21"/>
        </w:rPr>
      </w:pPr>
      <w:r>
        <w:rPr>
          <w:rFonts w:hint="eastAsia" w:ascii="Times New Roman" w:hAnsi="Times New Roman"/>
          <w:szCs w:val="21"/>
        </w:rPr>
        <w:t>果荚长10cm～15cm，果荚硬韧、色绿、鲜亮时，即可采收。</w:t>
      </w:r>
    </w:p>
    <w:p w14:paraId="2AB62E5E">
      <w:pPr>
        <w:pStyle w:val="3"/>
      </w:pPr>
      <w:r>
        <w:rPr>
          <w:rFonts w:hint="eastAsia"/>
        </w:rPr>
        <w:t>11.2 采收时间</w:t>
      </w:r>
    </w:p>
    <w:p w14:paraId="784C2401">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一般在花谢后4d～6d内即可采收。温度高时，嫩荚生长快，需天天采收或隔天采收;温度较低时，隔1d～2d采收1次。</w:t>
      </w:r>
    </w:p>
    <w:p w14:paraId="78828312">
      <w:pPr>
        <w:pStyle w:val="3"/>
        <w:rPr>
          <w:rFonts w:eastAsiaTheme="minorEastAsia" w:cstheme="minorEastAsia"/>
        </w:rPr>
      </w:pPr>
      <w:r>
        <w:rPr>
          <w:rFonts w:hint="eastAsia"/>
        </w:rPr>
        <w:t>11.3 采收方法</w:t>
      </w:r>
    </w:p>
    <w:p w14:paraId="0F1293C3">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采收时宜佩戴手套，用剪刀从果柄处剪下，保留 1cm 左右长的果柄，切勿用手撕摘。</w:t>
      </w:r>
    </w:p>
    <w:p w14:paraId="2682E190">
      <w:pPr>
        <w:pStyle w:val="3"/>
        <w:rPr>
          <w:rFonts w:eastAsiaTheme="minorEastAsia" w:cstheme="minorEastAsia"/>
        </w:rPr>
      </w:pPr>
      <w:r>
        <w:rPr>
          <w:rFonts w:hint="eastAsia"/>
        </w:rPr>
        <w:t>11.4 采后处理</w:t>
      </w:r>
    </w:p>
    <w:p w14:paraId="2B9CFD71">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采收后按照秋葵皮色、形状、长短等进行分级分类，分级分类应符合</w:t>
      </w:r>
      <w:r>
        <w:rPr>
          <w:rFonts w:ascii="Times New Roman" w:hAnsi="Times New Roman"/>
          <w:szCs w:val="21"/>
        </w:rPr>
        <w:t>NY/T 3270</w:t>
      </w:r>
      <w:r>
        <w:rPr>
          <w:rFonts w:hint="eastAsia" w:ascii="Times New Roman" w:hAnsi="Times New Roman"/>
          <w:szCs w:val="21"/>
        </w:rPr>
        <w:t>的</w:t>
      </w:r>
      <w:r>
        <w:rPr>
          <w:rFonts w:ascii="Times New Roman" w:hAnsi="Times New Roman"/>
          <w:szCs w:val="21"/>
        </w:rPr>
        <w:t>规定</w:t>
      </w:r>
      <w:r>
        <w:rPr>
          <w:rFonts w:hint="eastAsia" w:ascii="Times New Roman" w:hAnsi="Times New Roman"/>
          <w:szCs w:val="21"/>
        </w:rPr>
        <w:t>。</w:t>
      </w:r>
      <w:r>
        <w:rPr>
          <w:rFonts w:hint="eastAsia" w:ascii="Times New Roman" w:hAnsi="Times New Roman" w:eastAsiaTheme="minorEastAsia" w:cstheme="minorEastAsia"/>
        </w:rPr>
        <w:t>用保鲜膜或牛皮纸进行包装储藏，确保整洁、干燥、透气、无污染。</w:t>
      </w:r>
    </w:p>
    <w:p w14:paraId="5EDB55E9">
      <w:pPr>
        <w:pStyle w:val="13"/>
      </w:pPr>
      <w:r>
        <w:rPr>
          <w:rFonts w:hint="eastAsia" w:hAnsi="Times New Roman"/>
        </w:rPr>
        <w:t>1</w:t>
      </w:r>
      <w:r>
        <w:rPr>
          <w:rFonts w:hint="eastAsia"/>
        </w:rPr>
        <w:t>2 生产废弃物处理</w:t>
      </w:r>
    </w:p>
    <w:p w14:paraId="1C7659B5">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生产过程中使用的地膜、营养钵、农药、肥料包装袋等分类收集，集中处理。生产后期的秋葵植株残体进行集中收集粉碎，堆肥沤制有机肥。</w:t>
      </w:r>
    </w:p>
    <w:p w14:paraId="31F7E73E">
      <w:pPr>
        <w:pStyle w:val="13"/>
      </w:pPr>
      <w:r>
        <w:rPr>
          <w:rFonts w:hint="eastAsia"/>
        </w:rPr>
        <w:t>13 储藏与运输</w:t>
      </w:r>
    </w:p>
    <w:p w14:paraId="75E6D9BD">
      <w:pPr>
        <w:pStyle w:val="3"/>
        <w:rPr>
          <w:rFonts w:hAnsi="Times New Roman"/>
        </w:rPr>
      </w:pPr>
      <w:r>
        <w:rPr>
          <w:rFonts w:hint="eastAsia"/>
        </w:rPr>
        <w:t>13.1</w:t>
      </w:r>
      <w:r>
        <w:rPr>
          <w:rFonts w:hint="eastAsia" w:hAnsi="Times New Roman"/>
        </w:rPr>
        <w:t>储藏</w:t>
      </w:r>
    </w:p>
    <w:p w14:paraId="2A7FBFFF">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保鲜库温度保持在</w:t>
      </w:r>
      <w:r>
        <w:rPr>
          <w:rFonts w:ascii="Times New Roman" w:hAnsi="Times New Roman" w:eastAsiaTheme="minorEastAsia"/>
        </w:rPr>
        <w:t>5℃～ 7℃</w:t>
      </w:r>
      <w:r>
        <w:rPr>
          <w:rFonts w:hint="eastAsia" w:asciiTheme="minorEastAsia" w:hAnsiTheme="minorEastAsia" w:eastAsiaTheme="minorEastAsia" w:cstheme="minorEastAsia"/>
        </w:rPr>
        <w:t>，湿度保持在</w:t>
      </w:r>
      <w:r>
        <w:rPr>
          <w:rFonts w:hint="eastAsia" w:ascii="Times New Roman" w:hAnsi="Times New Roman" w:eastAsiaTheme="minorEastAsia"/>
        </w:rPr>
        <w:t>80%～ 90%</w:t>
      </w:r>
      <w:r>
        <w:rPr>
          <w:rFonts w:hint="eastAsia" w:asciiTheme="minorEastAsia" w:hAnsiTheme="minorEastAsia" w:eastAsiaTheme="minorEastAsia" w:cstheme="minorEastAsia"/>
        </w:rPr>
        <w:t>，保证通风条件良好；储藏原则符合</w:t>
      </w:r>
      <w:r>
        <w:rPr>
          <w:rFonts w:hint="eastAsia" w:ascii="Times New Roman" w:hAnsi="Times New Roman" w:eastAsiaTheme="minorEastAsia"/>
        </w:rPr>
        <w:t>NY/T 3570</w:t>
      </w:r>
      <w:r>
        <w:rPr>
          <w:rFonts w:hint="eastAsia" w:asciiTheme="minorEastAsia" w:hAnsiTheme="minorEastAsia" w:eastAsiaTheme="minorEastAsia" w:cstheme="minorEastAsia"/>
        </w:rPr>
        <w:t>的要求。</w:t>
      </w:r>
    </w:p>
    <w:p w14:paraId="17E3D497">
      <w:pPr>
        <w:pStyle w:val="3"/>
      </w:pPr>
      <w:r>
        <w:rPr>
          <w:rFonts w:hint="eastAsia"/>
        </w:rPr>
        <w:t>13.2 运输</w:t>
      </w:r>
    </w:p>
    <w:p w14:paraId="46BA4B8F">
      <w:pPr>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对运输车辆进行清洁，并保证干燥、无污染。运输过程中注意防晒、防雨、通风。防止与非绿色食品混装运输。储藏与运输应符合</w:t>
      </w:r>
      <w:r>
        <w:rPr>
          <w:rFonts w:hint="eastAsia" w:ascii="Times New Roman" w:hAnsi="Times New Roman" w:eastAsiaTheme="minorEastAsia"/>
        </w:rPr>
        <w:t>NY/T 1056</w:t>
      </w:r>
      <w:r>
        <w:rPr>
          <w:rFonts w:hint="eastAsia" w:asciiTheme="minorEastAsia" w:hAnsiTheme="minorEastAsia" w:eastAsiaTheme="minorEastAsia" w:cstheme="minorEastAsia"/>
        </w:rPr>
        <w:t>的要求。</w:t>
      </w:r>
    </w:p>
    <w:p w14:paraId="3C5ED735">
      <w:pPr>
        <w:pStyle w:val="13"/>
        <w:rPr>
          <w:rFonts w:eastAsiaTheme="minorEastAsia" w:cstheme="minorEastAsia"/>
        </w:rPr>
      </w:pPr>
      <w:r>
        <w:rPr>
          <w:rFonts w:hint="eastAsia"/>
        </w:rPr>
        <w:t>14 生产记录与档案</w:t>
      </w:r>
      <w:r>
        <w:rPr>
          <w:rFonts w:hint="eastAsia" w:eastAsiaTheme="minorEastAsia" w:cstheme="minorEastAsia"/>
        </w:rPr>
        <w:t xml:space="preserve">  </w:t>
      </w:r>
    </w:p>
    <w:p w14:paraId="3EDC38DE">
      <w:pPr>
        <w:ind w:firstLine="420" w:firstLineChars="200"/>
        <w:rPr>
          <w:rFonts w:ascii="Times New Roman" w:hAnsi="Times New Roman" w:eastAsia="黑体" w:cs="黑体"/>
          <w:kern w:val="0"/>
        </w:rPr>
      </w:pPr>
      <w:r>
        <w:rPr>
          <w:rFonts w:hint="eastAsia" w:ascii="Times New Roman" w:hAnsi="Times New Roman" w:eastAsiaTheme="minorEastAsia" w:cstheme="minorEastAsia"/>
        </w:rPr>
        <w:t>整个生产过程应有及时、详尽的记录，并应按期归档。记录档案保存</w:t>
      </w:r>
      <w:r>
        <w:rPr>
          <w:rFonts w:hint="eastAsia" w:ascii="Times New Roman" w:hAnsi="Times New Roman" w:cstheme="minorEastAsia"/>
        </w:rPr>
        <w:t>3</w:t>
      </w:r>
      <w:r>
        <w:rPr>
          <w:rFonts w:hint="eastAsia" w:ascii="Times New Roman" w:hAnsi="Times New Roman" w:eastAsiaTheme="minorEastAsia" w:cstheme="minorEastAsia"/>
        </w:rPr>
        <w:t>年以上，做到可追溯。</w:t>
      </w:r>
    </w:p>
    <w:p w14:paraId="401D186F">
      <w:pPr>
        <w:pStyle w:val="37"/>
        <w:adjustRightInd w:val="0"/>
        <w:snapToGrid w:val="0"/>
        <w:spacing w:before="156" w:beforeLines="50" w:after="156" w:afterLines="50"/>
        <w:rPr>
          <w:rFonts w:asciiTheme="minorEastAsia" w:hAnsiTheme="minorEastAsia" w:eastAsiaTheme="minorEastAsia" w:cstheme="minorEastAsia"/>
          <w:szCs w:val="21"/>
        </w:rPr>
        <w:sectPr>
          <w:footerReference r:id="rId12" w:type="default"/>
          <w:pgSz w:w="11906" w:h="16838"/>
          <w:pgMar w:top="1440" w:right="1800" w:bottom="1440" w:left="1800" w:header="851" w:footer="992" w:gutter="0"/>
          <w:pgNumType w:start="1"/>
          <w:cols w:space="425" w:num="1"/>
          <w:docGrid w:type="lines" w:linePitch="312" w:charSpace="0"/>
        </w:sectPr>
      </w:pPr>
    </w:p>
    <w:p w14:paraId="5B4FDACA">
      <w:pPr>
        <w:pStyle w:val="37"/>
        <w:adjustRightInd w:val="0"/>
        <w:snapToGrid w:val="0"/>
        <w:spacing w:before="156" w:beforeLines="50" w:after="156" w:afterLines="50"/>
        <w:rPr>
          <w:rFonts w:asciiTheme="minorEastAsia" w:hAnsiTheme="minorEastAsia" w:eastAsiaTheme="minorEastAsia" w:cstheme="minorEastAsia"/>
          <w:szCs w:val="21"/>
        </w:rPr>
      </w:pPr>
    </w:p>
    <w:p w14:paraId="655F0278">
      <w:pPr>
        <w:pStyle w:val="13"/>
        <w:jc w:val="center"/>
      </w:pPr>
      <w:r>
        <w:rPr>
          <w:rFonts w:hint="eastAsia"/>
        </w:rPr>
        <w:t>附录A</w:t>
      </w:r>
    </w:p>
    <w:p w14:paraId="7A5A0400">
      <w:pPr>
        <w:pStyle w:val="37"/>
        <w:adjustRightInd w:val="0"/>
        <w:snapToGrid w:val="0"/>
        <w:spacing w:line="360" w:lineRule="auto"/>
        <w:ind w:firstLine="0" w:firstLineChars="0"/>
        <w:jc w:val="center"/>
        <w:rPr>
          <w:rFonts w:ascii="黑体" w:hAnsi="黑体" w:eastAsia="黑体" w:cstheme="minorEastAsia"/>
          <w:szCs w:val="21"/>
        </w:rPr>
      </w:pPr>
      <w:r>
        <w:rPr>
          <w:rFonts w:hint="eastAsia" w:ascii="黑体" w:hAnsi="黑体" w:eastAsia="黑体" w:cstheme="minorEastAsia"/>
          <w:szCs w:val="21"/>
        </w:rPr>
        <w:t>(资料性附录)</w:t>
      </w:r>
    </w:p>
    <w:p w14:paraId="236FFB88">
      <w:pPr>
        <w:adjustRightInd w:val="0"/>
        <w:snapToGrid w:val="0"/>
        <w:spacing w:line="360" w:lineRule="auto"/>
        <w:jc w:val="center"/>
        <w:rPr>
          <w:rFonts w:ascii="黑体" w:hAnsi="黑体" w:eastAsia="黑体" w:cstheme="minorEastAsia"/>
          <w:szCs w:val="21"/>
        </w:rPr>
      </w:pPr>
      <w:r>
        <w:rPr>
          <w:rFonts w:hint="eastAsia" w:ascii="黑体" w:hAnsi="黑体" w:eastAsia="黑体" w:cstheme="minorEastAsia"/>
          <w:color w:val="000000"/>
          <w:kern w:val="0"/>
          <w:szCs w:val="21"/>
          <w:lang w:bidi="ar"/>
        </w:rPr>
        <w:t>北方地区 绿色食品设施秋葵生产</w:t>
      </w:r>
      <w:r>
        <w:rPr>
          <w:rFonts w:hint="eastAsia" w:ascii="黑体" w:hAnsi="黑体" w:eastAsia="黑体" w:cstheme="minorEastAsia"/>
          <w:szCs w:val="21"/>
        </w:rPr>
        <w:t>主要病虫害防治推荐农药使用方案</w:t>
      </w:r>
    </w:p>
    <w:p w14:paraId="761A0734">
      <w:pPr>
        <w:adjustRightInd w:val="0"/>
        <w:snapToGrid w:val="0"/>
        <w:spacing w:line="360" w:lineRule="auto"/>
        <w:jc w:val="center"/>
        <w:rPr>
          <w:rFonts w:ascii="黑体" w:hAnsi="黑体" w:eastAsia="黑体" w:cstheme="minorEastAsia"/>
          <w:szCs w:val="21"/>
        </w:rPr>
      </w:pPr>
    </w:p>
    <w:p w14:paraId="7A4BDE9B">
      <w:pPr>
        <w:adjustRightInd w:val="0"/>
        <w:snapToGrid w:val="0"/>
        <w:spacing w:line="360" w:lineRule="auto"/>
        <w:ind w:firstLine="420" w:firstLineChars="200"/>
        <w:jc w:val="left"/>
        <w:rPr>
          <w:rFonts w:ascii="黑体" w:hAnsi="黑体" w:eastAsia="黑体" w:cstheme="minorEastAsia"/>
          <w:szCs w:val="21"/>
        </w:rPr>
      </w:pPr>
      <w:r>
        <w:rPr>
          <w:rFonts w:hint="eastAsia" w:asciiTheme="minorEastAsia" w:hAnsiTheme="minorEastAsia" w:eastAsiaTheme="minorEastAsia" w:cstheme="minorEastAsia"/>
          <w:color w:val="000000"/>
          <w:kern w:val="0"/>
          <w:szCs w:val="21"/>
          <w:lang w:bidi="ar"/>
        </w:rPr>
        <w:t>北方地区</w:t>
      </w:r>
      <w:r>
        <w:rPr>
          <w:rFonts w:asciiTheme="minorEastAsia" w:hAnsiTheme="minorEastAsia" w:eastAsiaTheme="minorEastAsia" w:cstheme="minorEastAsia"/>
          <w:color w:val="000000"/>
          <w:kern w:val="0"/>
          <w:szCs w:val="21"/>
          <w:lang w:bidi="ar"/>
        </w:rPr>
        <w:t xml:space="preserve"> </w:t>
      </w:r>
      <w:r>
        <w:rPr>
          <w:rFonts w:hint="eastAsia" w:asciiTheme="minorEastAsia" w:hAnsiTheme="minorEastAsia" w:eastAsiaTheme="minorEastAsia" w:cstheme="minorEastAsia"/>
          <w:color w:val="000000"/>
          <w:kern w:val="0"/>
          <w:szCs w:val="21"/>
          <w:lang w:bidi="ar"/>
        </w:rPr>
        <w:t>绿色食品设施秋葵生产</w:t>
      </w:r>
      <w:r>
        <w:rPr>
          <w:rFonts w:hint="eastAsia" w:asciiTheme="minorEastAsia" w:hAnsiTheme="minorEastAsia" w:eastAsiaTheme="minorEastAsia" w:cstheme="minorEastAsia"/>
          <w:szCs w:val="21"/>
        </w:rPr>
        <w:t>主要病虫害防治推荐农药使用方案见</w:t>
      </w:r>
      <w:r>
        <w:rPr>
          <w:rFonts w:hint="eastAsia" w:asciiTheme="minorEastAsia" w:hAnsiTheme="minorEastAsia" w:eastAsiaTheme="minorEastAsia" w:cstheme="minorEastAsia"/>
          <w:color w:val="000000"/>
          <w:kern w:val="0"/>
          <w:szCs w:val="21"/>
          <w:lang w:bidi="ar"/>
        </w:rPr>
        <w:t>表</w:t>
      </w:r>
      <w:r>
        <w:rPr>
          <w:rFonts w:asciiTheme="minorEastAsia" w:hAnsiTheme="minorEastAsia" w:eastAsiaTheme="minorEastAsia" w:cstheme="minorEastAsia"/>
          <w:color w:val="000000"/>
          <w:kern w:val="0"/>
          <w:szCs w:val="21"/>
          <w:lang w:bidi="ar"/>
        </w:rPr>
        <w:t>A.1</w:t>
      </w:r>
      <w:r>
        <w:rPr>
          <w:rFonts w:hint="eastAsia" w:asciiTheme="minorEastAsia" w:hAnsiTheme="minorEastAsia" w:eastAsiaTheme="minorEastAsia" w:cstheme="minorEastAsia"/>
          <w:color w:val="000000"/>
          <w:kern w:val="0"/>
          <w:szCs w:val="21"/>
          <w:lang w:bidi="ar"/>
        </w:rPr>
        <w:t>。</w:t>
      </w:r>
    </w:p>
    <w:tbl>
      <w:tblPr>
        <w:tblStyle w:val="15"/>
        <w:tblpPr w:leftFromText="180" w:rightFromText="180" w:vertAnchor="text" w:horzAnchor="page" w:tblpXSpec="center" w:tblpY="495"/>
        <w:tblOverlap w:val="never"/>
        <w:tblW w:w="49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1443"/>
        <w:gridCol w:w="1729"/>
        <w:gridCol w:w="1477"/>
        <w:gridCol w:w="1198"/>
        <w:gridCol w:w="1133"/>
      </w:tblGrid>
      <w:tr w14:paraId="6355C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4B05479A">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cs="宋体" w:asciiTheme="minorEastAsia" w:hAnsiTheme="minorEastAsia" w:eastAsiaTheme="minorEastAsia"/>
                <w:b/>
                <w:color w:val="000000" w:themeColor="text1"/>
                <w:szCs w:val="21"/>
                <w14:textFill>
                  <w14:solidFill>
                    <w14:schemeClr w14:val="tx1"/>
                  </w14:solidFill>
                </w14:textFill>
              </w:rPr>
              <w:t>防治对象</w:t>
            </w:r>
          </w:p>
        </w:tc>
        <w:tc>
          <w:tcPr>
            <w:tcW w:w="863" w:type="pct"/>
            <w:vAlign w:val="center"/>
          </w:tcPr>
          <w:p w14:paraId="12C277A9">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cs="宋体" w:asciiTheme="minorEastAsia" w:hAnsiTheme="minorEastAsia" w:eastAsiaTheme="minorEastAsia"/>
                <w:b/>
                <w:color w:val="000000" w:themeColor="text1"/>
                <w:szCs w:val="21"/>
                <w14:textFill>
                  <w14:solidFill>
                    <w14:schemeClr w14:val="tx1"/>
                  </w14:solidFill>
                </w14:textFill>
              </w:rPr>
              <w:t>防治时期</w:t>
            </w:r>
          </w:p>
        </w:tc>
        <w:tc>
          <w:tcPr>
            <w:tcW w:w="1034" w:type="pct"/>
            <w:vAlign w:val="center"/>
          </w:tcPr>
          <w:p w14:paraId="725B0896">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cs="宋体" w:asciiTheme="minorEastAsia" w:hAnsiTheme="minorEastAsia" w:eastAsiaTheme="minorEastAsia"/>
                <w:b/>
                <w:color w:val="000000" w:themeColor="text1"/>
                <w:szCs w:val="21"/>
                <w14:textFill>
                  <w14:solidFill>
                    <w14:schemeClr w14:val="tx1"/>
                  </w14:solidFill>
                </w14:textFill>
              </w:rPr>
              <w:t>农药</w:t>
            </w:r>
            <w:r>
              <w:rPr>
                <w:rFonts w:hint="eastAsia" w:cs="宋体" w:asciiTheme="minorEastAsia" w:hAnsiTheme="minorEastAsia" w:eastAsiaTheme="minorEastAsia"/>
                <w:b/>
                <w:color w:val="000000" w:themeColor="text1"/>
                <w:szCs w:val="21"/>
                <w14:textFill>
                  <w14:solidFill>
                    <w14:schemeClr w14:val="tx1"/>
                  </w14:solidFill>
                </w14:textFill>
              </w:rPr>
              <w:t>名称</w:t>
            </w:r>
          </w:p>
        </w:tc>
        <w:tc>
          <w:tcPr>
            <w:tcW w:w="883" w:type="pct"/>
            <w:vAlign w:val="center"/>
          </w:tcPr>
          <w:p w14:paraId="29050C6A">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hint="eastAsia" w:cs="宋体" w:asciiTheme="minorEastAsia" w:hAnsiTheme="minorEastAsia" w:eastAsiaTheme="minorEastAsia"/>
                <w:b/>
                <w:color w:val="000000" w:themeColor="text1"/>
                <w:szCs w:val="21"/>
                <w14:textFill>
                  <w14:solidFill>
                    <w14:schemeClr w14:val="tx1"/>
                  </w14:solidFill>
                </w14:textFill>
              </w:rPr>
              <w:t>使用</w:t>
            </w:r>
            <w:r>
              <w:rPr>
                <w:rFonts w:cs="宋体" w:asciiTheme="minorEastAsia" w:hAnsiTheme="minorEastAsia" w:eastAsiaTheme="minorEastAsia"/>
                <w:b/>
                <w:color w:val="000000" w:themeColor="text1"/>
                <w:szCs w:val="21"/>
                <w14:textFill>
                  <w14:solidFill>
                    <w14:schemeClr w14:val="tx1"/>
                  </w14:solidFill>
                </w14:textFill>
              </w:rPr>
              <w:t>剂量</w:t>
            </w:r>
          </w:p>
        </w:tc>
        <w:tc>
          <w:tcPr>
            <w:tcW w:w="716" w:type="pct"/>
            <w:vAlign w:val="center"/>
          </w:tcPr>
          <w:p w14:paraId="3667F396">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hint="eastAsia" w:cs="宋体" w:asciiTheme="minorEastAsia" w:hAnsiTheme="minorEastAsia" w:eastAsiaTheme="minorEastAsia"/>
                <w:b/>
                <w:color w:val="000000" w:themeColor="text1"/>
                <w:szCs w:val="21"/>
                <w14:textFill>
                  <w14:solidFill>
                    <w14:schemeClr w14:val="tx1"/>
                  </w14:solidFill>
                </w14:textFill>
              </w:rPr>
              <w:t>施药</w:t>
            </w:r>
            <w:r>
              <w:rPr>
                <w:rFonts w:cs="宋体" w:asciiTheme="minorEastAsia" w:hAnsiTheme="minorEastAsia" w:eastAsiaTheme="minorEastAsia"/>
                <w:b/>
                <w:color w:val="000000" w:themeColor="text1"/>
                <w:szCs w:val="21"/>
                <w14:textFill>
                  <w14:solidFill>
                    <w14:schemeClr w14:val="tx1"/>
                  </w14:solidFill>
                </w14:textFill>
              </w:rPr>
              <w:t>方法</w:t>
            </w:r>
          </w:p>
        </w:tc>
        <w:tc>
          <w:tcPr>
            <w:tcW w:w="677" w:type="pct"/>
            <w:vAlign w:val="center"/>
          </w:tcPr>
          <w:p w14:paraId="1BC74B20">
            <w:pPr>
              <w:widowControl/>
              <w:adjustRightInd w:val="0"/>
              <w:snapToGrid w:val="0"/>
              <w:jc w:val="center"/>
              <w:rPr>
                <w:rFonts w:cs="宋体" w:asciiTheme="minorEastAsia" w:hAnsiTheme="minorEastAsia" w:eastAsiaTheme="minorEastAsia"/>
                <w:b/>
                <w:color w:val="000000" w:themeColor="text1"/>
                <w:szCs w:val="21"/>
                <w14:textFill>
                  <w14:solidFill>
                    <w14:schemeClr w14:val="tx1"/>
                  </w14:solidFill>
                </w14:textFill>
              </w:rPr>
            </w:pPr>
            <w:r>
              <w:rPr>
                <w:rFonts w:cs="宋体" w:asciiTheme="minorEastAsia" w:hAnsiTheme="minorEastAsia" w:eastAsiaTheme="minorEastAsia"/>
                <w:b/>
                <w:color w:val="000000" w:themeColor="text1"/>
                <w:szCs w:val="21"/>
                <w14:textFill>
                  <w14:solidFill>
                    <w14:schemeClr w14:val="tx1"/>
                  </w14:solidFill>
                </w14:textFill>
              </w:rPr>
              <w:t>安全间隔</w:t>
            </w:r>
            <w:r>
              <w:rPr>
                <w:rFonts w:hint="eastAsia" w:cs="宋体" w:asciiTheme="minorEastAsia" w:hAnsiTheme="minorEastAsia" w:eastAsiaTheme="minorEastAsia"/>
                <w:b/>
                <w:color w:val="000000" w:themeColor="text1"/>
                <w:szCs w:val="21"/>
                <w14:textFill>
                  <w14:solidFill>
                    <w14:schemeClr w14:val="tx1"/>
                  </w14:solidFill>
                </w14:textFill>
              </w:rPr>
              <w:t>期（天）</w:t>
            </w:r>
          </w:p>
        </w:tc>
      </w:tr>
      <w:tr w14:paraId="297CF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restart"/>
            <w:shd w:val="clear" w:color="auto" w:fill="auto"/>
            <w:vAlign w:val="center"/>
          </w:tcPr>
          <w:p w14:paraId="1FDA64E4">
            <w:pPr>
              <w:widowControl/>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灰霉病</w:t>
            </w:r>
            <w:r>
              <w:rPr>
                <w:rFonts w:asciiTheme="minorEastAsia" w:hAnsiTheme="minorEastAsia" w:eastAsiaTheme="minorEastAsia"/>
                <w:szCs w:val="21"/>
              </w:rPr>
              <w:t>等多种病害</w:t>
            </w:r>
          </w:p>
        </w:tc>
        <w:tc>
          <w:tcPr>
            <w:tcW w:w="863" w:type="pct"/>
            <w:shd w:val="clear" w:color="auto" w:fill="auto"/>
            <w:vAlign w:val="center"/>
          </w:tcPr>
          <w:p w14:paraId="7F826EC8">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发病初期</w:t>
            </w:r>
          </w:p>
        </w:tc>
        <w:tc>
          <w:tcPr>
            <w:tcW w:w="1034" w:type="pct"/>
            <w:shd w:val="clear" w:color="auto" w:fill="auto"/>
            <w:vAlign w:val="center"/>
          </w:tcPr>
          <w:p w14:paraId="0847106F">
            <w:pPr>
              <w:widowControl/>
              <w:adjustRightInd w:val="0"/>
              <w:snapToGrid w:val="0"/>
              <w:jc w:val="center"/>
              <w:rPr>
                <w:rFonts w:asciiTheme="minorEastAsia" w:hAnsiTheme="minorEastAsia" w:eastAsiaTheme="minorEastAsia"/>
                <w:szCs w:val="21"/>
              </w:rPr>
            </w:pPr>
            <w:bookmarkStart w:id="2" w:name="OLE_LINK2"/>
            <w:bookmarkStart w:id="3" w:name="OLE_LINK3"/>
            <w:r>
              <w:rPr>
                <w:rFonts w:hint="eastAsia" w:asciiTheme="minorEastAsia" w:hAnsiTheme="minorEastAsia" w:eastAsiaTheme="minorEastAsia"/>
                <w:szCs w:val="21"/>
              </w:rPr>
              <w:t>80%代森锌可湿性粉剂</w:t>
            </w:r>
            <w:bookmarkEnd w:id="2"/>
            <w:bookmarkEnd w:id="3"/>
          </w:p>
        </w:tc>
        <w:tc>
          <w:tcPr>
            <w:tcW w:w="883" w:type="pct"/>
            <w:shd w:val="clear" w:color="auto" w:fill="auto"/>
            <w:vAlign w:val="center"/>
          </w:tcPr>
          <w:p w14:paraId="552E2408">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80-100克/亩</w:t>
            </w:r>
          </w:p>
        </w:tc>
        <w:tc>
          <w:tcPr>
            <w:tcW w:w="716" w:type="pct"/>
            <w:shd w:val="clear" w:color="auto" w:fill="auto"/>
            <w:vAlign w:val="center"/>
          </w:tcPr>
          <w:p w14:paraId="7BE74CF9">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喷雾</w:t>
            </w:r>
          </w:p>
        </w:tc>
        <w:tc>
          <w:tcPr>
            <w:tcW w:w="677" w:type="pct"/>
            <w:shd w:val="clear" w:color="auto" w:fill="auto"/>
            <w:vAlign w:val="center"/>
          </w:tcPr>
          <w:p w14:paraId="358F93EA">
            <w:pPr>
              <w:widowControl/>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21</w:t>
            </w:r>
          </w:p>
        </w:tc>
      </w:tr>
      <w:tr w14:paraId="5B637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continue"/>
            <w:shd w:val="clear" w:color="auto" w:fill="auto"/>
            <w:vAlign w:val="center"/>
          </w:tcPr>
          <w:p w14:paraId="117D8EFD">
            <w:pPr>
              <w:widowControl/>
              <w:adjustRightInd w:val="0"/>
              <w:snapToGrid w:val="0"/>
              <w:jc w:val="center"/>
              <w:rPr>
                <w:rFonts w:asciiTheme="minorEastAsia" w:hAnsiTheme="minorEastAsia" w:eastAsiaTheme="minorEastAsia"/>
                <w:szCs w:val="21"/>
              </w:rPr>
            </w:pPr>
          </w:p>
        </w:tc>
        <w:tc>
          <w:tcPr>
            <w:tcW w:w="863" w:type="pct"/>
            <w:shd w:val="clear" w:color="auto" w:fill="auto"/>
            <w:vAlign w:val="center"/>
          </w:tcPr>
          <w:p w14:paraId="7BE1E5A8">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发病</w:t>
            </w:r>
            <w:r>
              <w:rPr>
                <w:rFonts w:hint="eastAsia" w:asciiTheme="minorEastAsia" w:hAnsiTheme="minorEastAsia" w:eastAsiaTheme="minorEastAsia"/>
                <w:color w:val="333333"/>
                <w:szCs w:val="21"/>
                <w:shd w:val="clear" w:color="auto" w:fill="FFFFFF"/>
              </w:rPr>
              <w:t>前</w:t>
            </w:r>
            <w:r>
              <w:rPr>
                <w:rFonts w:asciiTheme="minorEastAsia" w:hAnsiTheme="minorEastAsia" w:eastAsiaTheme="minorEastAsia"/>
                <w:color w:val="333333"/>
                <w:szCs w:val="21"/>
                <w:shd w:val="clear" w:color="auto" w:fill="FFFFFF"/>
              </w:rPr>
              <w:t>或初期</w:t>
            </w:r>
          </w:p>
        </w:tc>
        <w:tc>
          <w:tcPr>
            <w:tcW w:w="1034" w:type="pct"/>
            <w:shd w:val="clear" w:color="auto" w:fill="auto"/>
            <w:vAlign w:val="center"/>
          </w:tcPr>
          <w:p w14:paraId="3AC2B00A">
            <w:pPr>
              <w:widowControl/>
              <w:adjustRightInd w:val="0"/>
              <w:snapToGrid w:val="0"/>
              <w:jc w:val="center"/>
              <w:rPr>
                <w:rFonts w:asciiTheme="minorEastAsia" w:hAnsiTheme="minorEastAsia" w:eastAsiaTheme="minorEastAsia"/>
                <w:szCs w:val="21"/>
              </w:rPr>
            </w:pPr>
            <w:r>
              <w:rPr>
                <w:rFonts w:hint="eastAsia" w:asciiTheme="minorEastAsia" w:hAnsiTheme="minorEastAsia" w:eastAsiaTheme="minorEastAsia"/>
                <w:color w:val="333333"/>
                <w:szCs w:val="21"/>
                <w:shd w:val="clear" w:color="auto" w:fill="FFFFFF"/>
              </w:rPr>
              <w:t>36%</w:t>
            </w:r>
            <w:r>
              <w:rPr>
                <w:rFonts w:asciiTheme="minorEastAsia" w:hAnsiTheme="minorEastAsia" w:eastAsiaTheme="minorEastAsia"/>
                <w:color w:val="333333"/>
                <w:szCs w:val="21"/>
                <w:shd w:val="clear" w:color="auto" w:fill="FFFFFF"/>
              </w:rPr>
              <w:t>甲基硫菌灵</w:t>
            </w:r>
            <w:r>
              <w:rPr>
                <w:rFonts w:hint="eastAsia" w:asciiTheme="minorEastAsia" w:hAnsiTheme="minorEastAsia" w:eastAsiaTheme="minorEastAsia"/>
                <w:color w:val="333333"/>
                <w:szCs w:val="21"/>
                <w:shd w:val="clear" w:color="auto" w:fill="FFFFFF"/>
              </w:rPr>
              <w:t>悬浮剂</w:t>
            </w:r>
          </w:p>
        </w:tc>
        <w:tc>
          <w:tcPr>
            <w:tcW w:w="883" w:type="pct"/>
            <w:shd w:val="clear" w:color="auto" w:fill="auto"/>
            <w:vAlign w:val="center"/>
          </w:tcPr>
          <w:p w14:paraId="31C3F858">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400-1200倍液</w:t>
            </w:r>
          </w:p>
        </w:tc>
        <w:tc>
          <w:tcPr>
            <w:tcW w:w="716" w:type="pct"/>
            <w:shd w:val="clear" w:color="auto" w:fill="auto"/>
            <w:vAlign w:val="center"/>
          </w:tcPr>
          <w:p w14:paraId="5C890409">
            <w:pPr>
              <w:widowControl/>
              <w:adjustRightInd w:val="0"/>
              <w:snapToGrid w:val="0"/>
              <w:jc w:val="center"/>
              <w:rPr>
                <w:rFonts w:asciiTheme="minorEastAsia" w:hAnsiTheme="minorEastAsia" w:eastAsiaTheme="minorEastAsia"/>
                <w:szCs w:val="21"/>
              </w:rPr>
            </w:pPr>
            <w:r>
              <w:rPr>
                <w:rFonts w:asciiTheme="minorEastAsia" w:hAnsiTheme="minorEastAsia" w:eastAsiaTheme="minorEastAsia"/>
                <w:color w:val="333333"/>
                <w:szCs w:val="21"/>
                <w:shd w:val="clear" w:color="auto" w:fill="FFFFFF"/>
              </w:rPr>
              <w:t>喷雾</w:t>
            </w:r>
          </w:p>
        </w:tc>
        <w:tc>
          <w:tcPr>
            <w:tcW w:w="677" w:type="pct"/>
            <w:shd w:val="clear" w:color="auto" w:fill="auto"/>
            <w:vAlign w:val="center"/>
          </w:tcPr>
          <w:p w14:paraId="566744E9">
            <w:pPr>
              <w:widowControl/>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14</w:t>
            </w:r>
          </w:p>
        </w:tc>
      </w:tr>
      <w:tr w14:paraId="02A2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restart"/>
            <w:vAlign w:val="center"/>
          </w:tcPr>
          <w:p w14:paraId="195AD464">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蚜虫</w:t>
            </w:r>
          </w:p>
        </w:tc>
        <w:tc>
          <w:tcPr>
            <w:tcW w:w="863" w:type="pct"/>
            <w:vMerge w:val="restart"/>
            <w:vAlign w:val="center"/>
          </w:tcPr>
          <w:p w14:paraId="0BA6C8DB">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整个生长期</w:t>
            </w:r>
          </w:p>
        </w:tc>
        <w:tc>
          <w:tcPr>
            <w:tcW w:w="1034" w:type="pct"/>
            <w:vAlign w:val="center"/>
          </w:tcPr>
          <w:p w14:paraId="35BE21D7">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10%吡虫啉可湿性粉剂</w:t>
            </w:r>
          </w:p>
        </w:tc>
        <w:tc>
          <w:tcPr>
            <w:tcW w:w="883" w:type="pct"/>
            <w:vAlign w:val="center"/>
          </w:tcPr>
          <w:p w14:paraId="4F1E669A">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5克/亩</w:t>
            </w:r>
          </w:p>
        </w:tc>
        <w:tc>
          <w:tcPr>
            <w:tcW w:w="716" w:type="pct"/>
            <w:vAlign w:val="center"/>
          </w:tcPr>
          <w:p w14:paraId="4E04FF35">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喷雾</w:t>
            </w:r>
          </w:p>
        </w:tc>
        <w:tc>
          <w:tcPr>
            <w:tcW w:w="677" w:type="pct"/>
            <w:vAlign w:val="center"/>
          </w:tcPr>
          <w:p w14:paraId="597A040D">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stheme="majorEastAsia"/>
                <w:color w:val="000000" w:themeColor="text1"/>
                <w:szCs w:val="21"/>
                <w14:textFill>
                  <w14:solidFill>
                    <w14:schemeClr w14:val="tx1"/>
                  </w14:solidFill>
                </w14:textFill>
              </w:rPr>
              <w:t>14</w:t>
            </w:r>
          </w:p>
        </w:tc>
      </w:tr>
      <w:tr w14:paraId="0C91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Merge w:val="continue"/>
            <w:vAlign w:val="center"/>
          </w:tcPr>
          <w:p w14:paraId="09C914DE">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p>
        </w:tc>
        <w:tc>
          <w:tcPr>
            <w:tcW w:w="863" w:type="pct"/>
            <w:vMerge w:val="continue"/>
            <w:vAlign w:val="center"/>
          </w:tcPr>
          <w:p w14:paraId="75F3C64B">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p>
        </w:tc>
        <w:tc>
          <w:tcPr>
            <w:tcW w:w="1034" w:type="pct"/>
            <w:vAlign w:val="center"/>
          </w:tcPr>
          <w:p w14:paraId="6193D9ED">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4.5%高效氯氰菊酯</w:t>
            </w:r>
            <w:r>
              <w:rPr>
                <w:rFonts w:hint="eastAsia" w:asciiTheme="minorEastAsia" w:hAnsiTheme="minorEastAsia" w:eastAsiaTheme="minorEastAsia"/>
                <w:color w:val="333333"/>
                <w:szCs w:val="21"/>
                <w:shd w:val="clear" w:color="auto" w:fill="FFFFFF"/>
              </w:rPr>
              <w:t>乳油</w:t>
            </w:r>
          </w:p>
        </w:tc>
        <w:tc>
          <w:tcPr>
            <w:tcW w:w="883" w:type="pct"/>
            <w:vAlign w:val="center"/>
          </w:tcPr>
          <w:p w14:paraId="255442CD">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5-27毫升/亩</w:t>
            </w:r>
          </w:p>
        </w:tc>
        <w:tc>
          <w:tcPr>
            <w:tcW w:w="716" w:type="pct"/>
            <w:vAlign w:val="center"/>
          </w:tcPr>
          <w:p w14:paraId="698C8488">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喷雾</w:t>
            </w:r>
          </w:p>
        </w:tc>
        <w:tc>
          <w:tcPr>
            <w:tcW w:w="677" w:type="pct"/>
            <w:vAlign w:val="center"/>
          </w:tcPr>
          <w:p w14:paraId="3D8B9160">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7</w:t>
            </w:r>
          </w:p>
        </w:tc>
      </w:tr>
      <w:tr w14:paraId="339E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470FA199">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小菜蛾</w:t>
            </w:r>
            <w:r>
              <w:rPr>
                <w:rFonts w:hint="eastAsia" w:asciiTheme="minorEastAsia" w:hAnsiTheme="minorEastAsia" w:eastAsiaTheme="minorEastAsia"/>
                <w:color w:val="333333"/>
                <w:shd w:val="clear" w:color="auto" w:fill="FFFFFF"/>
              </w:rPr>
              <w:t>、</w:t>
            </w:r>
            <w:r>
              <w:rPr>
                <w:rFonts w:asciiTheme="minorEastAsia" w:hAnsiTheme="minorEastAsia" w:eastAsiaTheme="minorEastAsia"/>
                <w:color w:val="333333"/>
                <w:shd w:val="clear" w:color="auto" w:fill="FFFFFF"/>
              </w:rPr>
              <w:br w:type="textWrapping"/>
            </w:r>
            <w:r>
              <w:rPr>
                <w:rFonts w:hint="eastAsia" w:asciiTheme="minorEastAsia" w:hAnsiTheme="minorEastAsia" w:eastAsiaTheme="minorEastAsia"/>
                <w:color w:val="333333"/>
                <w:szCs w:val="21"/>
                <w:shd w:val="clear" w:color="auto" w:fill="FFFFFF"/>
              </w:rPr>
              <w:t>菜青虫</w:t>
            </w:r>
          </w:p>
        </w:tc>
        <w:tc>
          <w:tcPr>
            <w:tcW w:w="863" w:type="pct"/>
            <w:vAlign w:val="center"/>
          </w:tcPr>
          <w:p w14:paraId="2F6FAE56">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卵孵盛期至低龄幼虫期</w:t>
            </w:r>
          </w:p>
        </w:tc>
        <w:tc>
          <w:tcPr>
            <w:tcW w:w="1034" w:type="pct"/>
            <w:vAlign w:val="center"/>
          </w:tcPr>
          <w:p w14:paraId="2E1F9EA3">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8000IU/毫克苏云金杆菌可湿性粉剂</w:t>
            </w:r>
          </w:p>
        </w:tc>
        <w:tc>
          <w:tcPr>
            <w:tcW w:w="883" w:type="pct"/>
            <w:vAlign w:val="center"/>
          </w:tcPr>
          <w:p w14:paraId="36ABD9F1">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asciiTheme="minorEastAsia" w:hAnsiTheme="minorEastAsia" w:eastAsiaTheme="minorEastAsia"/>
                <w:color w:val="333333"/>
                <w:szCs w:val="21"/>
                <w:shd w:val="clear" w:color="auto" w:fill="FFFFFF"/>
              </w:rPr>
              <w:t>50-100克/亩</w:t>
            </w:r>
          </w:p>
        </w:tc>
        <w:tc>
          <w:tcPr>
            <w:tcW w:w="716" w:type="pct"/>
            <w:vAlign w:val="center"/>
          </w:tcPr>
          <w:p w14:paraId="7EC23BCA">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喷雾</w:t>
            </w:r>
          </w:p>
        </w:tc>
        <w:tc>
          <w:tcPr>
            <w:tcW w:w="677" w:type="pct"/>
            <w:vAlign w:val="center"/>
          </w:tcPr>
          <w:p w14:paraId="0537602C">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w:t>
            </w:r>
          </w:p>
        </w:tc>
      </w:tr>
      <w:tr w14:paraId="73F7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shd w:val="clear" w:color="auto" w:fill="auto"/>
            <w:vAlign w:val="center"/>
          </w:tcPr>
          <w:p w14:paraId="573EF679">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棉铃虫</w:t>
            </w:r>
          </w:p>
        </w:tc>
        <w:tc>
          <w:tcPr>
            <w:tcW w:w="863" w:type="pct"/>
            <w:shd w:val="clear" w:color="auto" w:fill="auto"/>
            <w:vAlign w:val="center"/>
          </w:tcPr>
          <w:p w14:paraId="0B949424">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在棉铃虫幼虫初孵期</w:t>
            </w:r>
          </w:p>
        </w:tc>
        <w:tc>
          <w:tcPr>
            <w:tcW w:w="1034" w:type="pct"/>
            <w:vAlign w:val="center"/>
          </w:tcPr>
          <w:p w14:paraId="21173D87">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4.5%</w:t>
            </w:r>
            <w:bookmarkStart w:id="4" w:name="OLE_LINK13"/>
            <w:r>
              <w:rPr>
                <w:rFonts w:hint="eastAsia" w:asciiTheme="minorEastAsia" w:hAnsiTheme="minorEastAsia" w:eastAsiaTheme="minorEastAsia" w:cstheme="majorEastAsia"/>
                <w:color w:val="000000" w:themeColor="text1"/>
                <w:szCs w:val="21"/>
                <w14:textFill>
                  <w14:solidFill>
                    <w14:schemeClr w14:val="tx1"/>
                  </w14:solidFill>
                </w14:textFill>
              </w:rPr>
              <w:t>高效氯氰菊酯</w:t>
            </w:r>
            <w:bookmarkEnd w:id="4"/>
            <w:r>
              <w:rPr>
                <w:rFonts w:hint="eastAsia" w:asciiTheme="minorEastAsia" w:hAnsiTheme="minorEastAsia" w:eastAsiaTheme="minorEastAsia" w:cstheme="majorEastAsia"/>
                <w:color w:val="000000" w:themeColor="text1"/>
                <w:szCs w:val="21"/>
                <w14:textFill>
                  <w14:solidFill>
                    <w14:schemeClr w14:val="tx1"/>
                  </w14:solidFill>
                </w14:textFill>
              </w:rPr>
              <w:t>乳油</w:t>
            </w:r>
          </w:p>
        </w:tc>
        <w:tc>
          <w:tcPr>
            <w:tcW w:w="883" w:type="pct"/>
            <w:vAlign w:val="center"/>
          </w:tcPr>
          <w:p w14:paraId="35608435">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15-40毫升/亩</w:t>
            </w:r>
          </w:p>
        </w:tc>
        <w:tc>
          <w:tcPr>
            <w:tcW w:w="716" w:type="pct"/>
            <w:vAlign w:val="center"/>
          </w:tcPr>
          <w:p w14:paraId="64694BF9">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喷雾</w:t>
            </w:r>
          </w:p>
        </w:tc>
        <w:tc>
          <w:tcPr>
            <w:tcW w:w="677" w:type="pct"/>
            <w:vAlign w:val="center"/>
          </w:tcPr>
          <w:p w14:paraId="1A0ADAC0">
            <w:pPr>
              <w:widowControl/>
              <w:adjustRightInd w:val="0"/>
              <w:snapToGrid w:val="0"/>
              <w:jc w:val="center"/>
              <w:rPr>
                <w:rFonts w:asciiTheme="minorEastAsia" w:hAnsiTheme="minorEastAsia" w:eastAsiaTheme="minorEastAsia" w:cstheme="majorEastAsia"/>
                <w:color w:val="000000" w:themeColor="text1"/>
                <w:szCs w:val="21"/>
                <w14:textFill>
                  <w14:solidFill>
                    <w14:schemeClr w14:val="tx1"/>
                  </w14:solidFill>
                </w14:textFill>
              </w:rPr>
            </w:pPr>
            <w:r>
              <w:rPr>
                <w:rFonts w:hint="eastAsia" w:asciiTheme="minorEastAsia" w:hAnsiTheme="minorEastAsia" w:eastAsiaTheme="minorEastAsia" w:cstheme="majorEastAsia"/>
                <w:color w:val="000000" w:themeColor="text1"/>
                <w:szCs w:val="21"/>
                <w14:textFill>
                  <w14:solidFill>
                    <w14:schemeClr w14:val="tx1"/>
                  </w14:solidFill>
                </w14:textFill>
              </w:rPr>
              <w:t>7</w:t>
            </w:r>
          </w:p>
        </w:tc>
      </w:tr>
      <w:tr w14:paraId="3E2F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7" w:type="pct"/>
            <w:vAlign w:val="center"/>
          </w:tcPr>
          <w:p w14:paraId="27370DFB">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造桥虫等多种害虫</w:t>
            </w:r>
          </w:p>
        </w:tc>
        <w:tc>
          <w:tcPr>
            <w:tcW w:w="863" w:type="pct"/>
            <w:vAlign w:val="center"/>
          </w:tcPr>
          <w:p w14:paraId="79AC7281">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低龄幼虫盛发期</w:t>
            </w:r>
          </w:p>
        </w:tc>
        <w:tc>
          <w:tcPr>
            <w:tcW w:w="1034" w:type="pct"/>
            <w:vAlign w:val="center"/>
          </w:tcPr>
          <w:p w14:paraId="25EFCA4E">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18%</w:t>
            </w:r>
            <w:bookmarkStart w:id="5" w:name="OLE_LINK12"/>
            <w:bookmarkStart w:id="6" w:name="OLE_LINK11"/>
            <w:r>
              <w:rPr>
                <w:rFonts w:hint="eastAsia" w:asciiTheme="minorEastAsia" w:hAnsiTheme="minorEastAsia" w:eastAsiaTheme="minorEastAsia" w:cstheme="minorEastAsia"/>
                <w:color w:val="000000" w:themeColor="text1"/>
                <w:szCs w:val="21"/>
                <w14:textFill>
                  <w14:solidFill>
                    <w14:schemeClr w14:val="tx1"/>
                  </w14:solidFill>
                </w14:textFill>
              </w:rPr>
              <w:t>杀虫双</w:t>
            </w:r>
            <w:bookmarkEnd w:id="5"/>
            <w:bookmarkEnd w:id="6"/>
            <w:r>
              <w:rPr>
                <w:rFonts w:hint="eastAsia" w:asciiTheme="minorEastAsia" w:hAnsiTheme="minorEastAsia" w:eastAsiaTheme="minorEastAsia" w:cstheme="minorEastAsia"/>
                <w:color w:val="000000" w:themeColor="text1"/>
                <w:szCs w:val="21"/>
                <w14:textFill>
                  <w14:solidFill>
                    <w14:schemeClr w14:val="tx1"/>
                  </w14:solidFill>
                </w14:textFill>
              </w:rPr>
              <w:t>水剂</w:t>
            </w:r>
          </w:p>
        </w:tc>
        <w:tc>
          <w:tcPr>
            <w:tcW w:w="883" w:type="pct"/>
            <w:vAlign w:val="center"/>
          </w:tcPr>
          <w:p w14:paraId="1D519FAC">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200-250毫升/亩</w:t>
            </w:r>
          </w:p>
        </w:tc>
        <w:tc>
          <w:tcPr>
            <w:tcW w:w="716" w:type="pct"/>
            <w:vAlign w:val="center"/>
          </w:tcPr>
          <w:p w14:paraId="43A16004">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喷雾</w:t>
            </w:r>
          </w:p>
        </w:tc>
        <w:tc>
          <w:tcPr>
            <w:tcW w:w="677" w:type="pct"/>
            <w:vAlign w:val="center"/>
          </w:tcPr>
          <w:p w14:paraId="1306DBCE">
            <w:pPr>
              <w:widowControl/>
              <w:adjustRightInd w:val="0"/>
              <w:snapToGrid w:val="0"/>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w:t>
            </w:r>
          </w:p>
        </w:tc>
      </w:tr>
    </w:tbl>
    <w:p w14:paraId="769D4165">
      <w:pPr>
        <w:widowControl/>
        <w:jc w:val="center"/>
        <w:rPr>
          <w:rFonts w:ascii="黑体" w:hAnsi="黑体" w:eastAsia="黑体" w:cstheme="minorEastAsia"/>
          <w:szCs w:val="21"/>
        </w:rPr>
      </w:pPr>
      <w:r>
        <w:rPr>
          <w:rFonts w:hint="eastAsia" w:ascii="黑体" w:hAnsi="黑体" w:eastAsia="黑体" w:cstheme="minorEastAsia"/>
          <w:color w:val="000000"/>
          <w:kern w:val="0"/>
          <w:szCs w:val="21"/>
          <w:lang w:bidi="ar"/>
        </w:rPr>
        <w:t>表A.1 北方地区 绿色食品设施秋葵生产</w:t>
      </w:r>
      <w:r>
        <w:rPr>
          <w:rFonts w:hint="eastAsia" w:ascii="黑体" w:hAnsi="黑体" w:eastAsia="黑体" w:cstheme="minorEastAsia"/>
          <w:szCs w:val="21"/>
        </w:rPr>
        <w:t>主要病虫害防治推荐农药使用方案</w:t>
      </w:r>
    </w:p>
    <w:p w14:paraId="3927022C">
      <w:pPr>
        <w:widowControl/>
        <w:jc w:val="center"/>
        <w:rPr>
          <w:rFonts w:ascii="黑体" w:hAnsi="黑体" w:eastAsia="黑体" w:cstheme="minorEastAsia"/>
          <w:szCs w:val="21"/>
        </w:rPr>
      </w:pPr>
    </w:p>
    <w:p w14:paraId="2AC444E9">
      <w:pPr>
        <w:widowControl/>
        <w:jc w:val="center"/>
        <w:rPr>
          <w:b/>
          <w:snapToGrid w:val="0"/>
          <w:kern w:val="21"/>
        </w:rPr>
      </w:pPr>
      <w:r>
        <w:rPr>
          <w:rFonts w:hint="eastAsia"/>
          <w:b/>
          <w:kern w:val="21"/>
        </w:rPr>
        <mc:AlternateContent>
          <mc:Choice Requires="wps">
            <w:drawing>
              <wp:anchor distT="0" distB="0" distL="114300" distR="114300" simplePos="0" relativeHeight="251661312" behindDoc="0" locked="0" layoutInCell="1" allowOverlap="1">
                <wp:simplePos x="0" y="0"/>
                <wp:positionH relativeFrom="column">
                  <wp:posOffset>1628140</wp:posOffset>
                </wp:positionH>
                <wp:positionV relativeFrom="paragraph">
                  <wp:posOffset>302895</wp:posOffset>
                </wp:positionV>
                <wp:extent cx="1762125" cy="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1762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8.2pt;margin-top:23.85pt;height:0pt;width:138.75pt;z-index:251661312;mso-width-relative:page;mso-height-relative:page;" filled="f" stroked="t" coordsize="21600,21600" o:gfxdata="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M//1jXAAAACQEAAA8AAAAAAAAAAQAg&#10;AAAAIgAAAGRycy9kb3ducmV2LnhtbFBLAQIUABQAAAAIAIdO4kBw2odm1gEAAJoDAAAOAAAAAAAA&#10;AAEAIAAAACYBAABkcnMvZTJvRG9jLnhtbFBLBQYAAAAABgAGAFkBAABuBQAAAAA=&#10;">
                <v:fill on="f" focussize="0,0"/>
                <v:stroke color="#000000 [3213]" joinstyle="round"/>
                <v:imagedata o:title=""/>
                <o:lock v:ext="edit" aspectratio="f"/>
              </v:lin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C816E">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FB4A5">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556307"/>
      <w:docPartObj>
        <w:docPartGallery w:val="AutoText"/>
      </w:docPartObj>
    </w:sdtPr>
    <w:sdtContent>
      <w:p w14:paraId="66626829">
        <w:pPr>
          <w:pStyle w:val="10"/>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8758369"/>
      <w:docPartObj>
        <w:docPartGallery w:val="AutoText"/>
      </w:docPartObj>
    </w:sdtPr>
    <w:sdtContent>
      <w:p w14:paraId="03C33FAD">
        <w:pPr>
          <w:pStyle w:val="10"/>
          <w:jc w:val="right"/>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27FC2">
    <w:pPr>
      <w:pStyle w:val="11"/>
      <w:pBdr>
        <w:bottom w:val="none" w:color="auto" w:sz="0" w:space="0"/>
      </w:pBdr>
    </w:pPr>
    <w:r>
      <w:pict>
        <v:shape id="WordPictureWatermark28675731" o:spid="_x0000_s2051" o:spt="75" type="#_x0000_t75" style="position:absolute;left:0pt;height:387pt;width:415.2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5739F">
    <w:pPr>
      <w:pStyle w:val="11"/>
    </w:pPr>
    <w:r>
      <w:pict>
        <v:shape id="WordPictureWatermark28675730" o:spid="_x0000_s2050" o:spt="75" type="#_x0000_t75" style="position:absolute;left:0pt;height:387pt;width:415.2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A3148">
    <w:pPr>
      <w:pStyle w:val="11"/>
    </w:pPr>
    <w:r>
      <w:pict>
        <v:shape id="WordPictureWatermark28675729" o:spid="_x0000_s2049" o:spt="75" type="#_x0000_t75" style="position:absolute;left:0pt;height:387pt;width:415.2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61524">
    <w:pPr>
      <w:pStyle w:val="11"/>
      <w:pBdr>
        <w:bottom w:val="none" w:color="auto" w:sz="0" w:space="0"/>
      </w:pBdr>
    </w:pPr>
    <w:r>
      <w:pict>
        <v:shape id="WordPictureWatermark28675734" o:spid="_x0000_s2054" o:spt="75" type="#_x0000_t75" style="position:absolute;left:0pt;height:387pt;width:415.25pt;mso-position-horizontal:center;mso-position-horizontal-relative:margin;mso-position-vertical:center;mso-position-vertical-relative:margin;z-index:-251649024;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2BEC4">
    <w:pPr>
      <w:pStyle w:val="11"/>
      <w:pBdr>
        <w:bottom w:val="none" w:color="auto" w:sz="0" w:space="0"/>
      </w:pBdr>
    </w:pPr>
    <w:r>
      <w:pict>
        <v:shape id="WordPictureWatermark28675733" o:spid="_x0000_s2053" o:spt="75" type="#_x0000_t75" style="position:absolute;left:0pt;height:387pt;width:415.25pt;mso-position-horizontal:center;mso-position-horizontal-relative:margin;mso-position-vertical:center;mso-position-vertical-relative:margin;z-index:-25165004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8E535">
    <w:pPr>
      <w:pStyle w:val="11"/>
    </w:pPr>
    <w:r>
      <w:pict>
        <v:shape id="WordPictureWatermark28675732" o:spid="_x0000_s2052" o:spt="75" type="#_x0000_t75" style="position:absolute;left:0pt;height:387pt;width:415.25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40"/>
      <w:suff w:val="nothing"/>
      <w:lvlText w:val="%1　"/>
      <w:lvlJc w:val="left"/>
      <w:rPr>
        <w:rFonts w:hint="eastAsia" w:ascii="黑体" w:hAnsi="Times New Roman" w:eastAsia="黑体" w:cs="Times New Roman"/>
        <w:b w:val="0"/>
        <w:i w:val="0"/>
        <w:sz w:val="21"/>
        <w:szCs w:val="21"/>
      </w:rPr>
    </w:lvl>
    <w:lvl w:ilvl="1" w:tentative="0">
      <w:start w:val="1"/>
      <w:numFmt w:val="decimal"/>
      <w:pStyle w:val="3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3"/>
      <w:suff w:val="nothing"/>
      <w:lvlText w:val="%1.%2.%3　"/>
      <w:lvlJc w:val="left"/>
      <w:pPr>
        <w:ind w:left="210"/>
      </w:pPr>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lZjhiMDc1NGIyYzEwYjUwMTUxNWU0M2VjZDVlY2YifQ=="/>
  </w:docVars>
  <w:rsids>
    <w:rsidRoot w:val="00367D81"/>
    <w:rsid w:val="00002EF2"/>
    <w:rsid w:val="0000419A"/>
    <w:rsid w:val="00006983"/>
    <w:rsid w:val="00006CD4"/>
    <w:rsid w:val="00006FC4"/>
    <w:rsid w:val="000078BA"/>
    <w:rsid w:val="00010D47"/>
    <w:rsid w:val="000110D2"/>
    <w:rsid w:val="00012865"/>
    <w:rsid w:val="00012D85"/>
    <w:rsid w:val="00017CCA"/>
    <w:rsid w:val="00017CF1"/>
    <w:rsid w:val="00021F0C"/>
    <w:rsid w:val="000251B9"/>
    <w:rsid w:val="000256DF"/>
    <w:rsid w:val="00025FB4"/>
    <w:rsid w:val="00027251"/>
    <w:rsid w:val="0003064A"/>
    <w:rsid w:val="00031137"/>
    <w:rsid w:val="00032981"/>
    <w:rsid w:val="00032CCE"/>
    <w:rsid w:val="00033D8C"/>
    <w:rsid w:val="00034157"/>
    <w:rsid w:val="00036863"/>
    <w:rsid w:val="000378E0"/>
    <w:rsid w:val="00041193"/>
    <w:rsid w:val="00042DAB"/>
    <w:rsid w:val="00044262"/>
    <w:rsid w:val="000442B9"/>
    <w:rsid w:val="000445EC"/>
    <w:rsid w:val="0004608B"/>
    <w:rsid w:val="000468EB"/>
    <w:rsid w:val="00047F36"/>
    <w:rsid w:val="00052413"/>
    <w:rsid w:val="00052D53"/>
    <w:rsid w:val="00053CCB"/>
    <w:rsid w:val="000559BE"/>
    <w:rsid w:val="0005632D"/>
    <w:rsid w:val="00060521"/>
    <w:rsid w:val="000637F8"/>
    <w:rsid w:val="00066A12"/>
    <w:rsid w:val="00072110"/>
    <w:rsid w:val="000800AB"/>
    <w:rsid w:val="00080330"/>
    <w:rsid w:val="00087A3A"/>
    <w:rsid w:val="0009037E"/>
    <w:rsid w:val="000921FC"/>
    <w:rsid w:val="00094503"/>
    <w:rsid w:val="000945C0"/>
    <w:rsid w:val="00095AEA"/>
    <w:rsid w:val="000971AF"/>
    <w:rsid w:val="000A2A2B"/>
    <w:rsid w:val="000A3209"/>
    <w:rsid w:val="000A7066"/>
    <w:rsid w:val="000B12E1"/>
    <w:rsid w:val="000B14A2"/>
    <w:rsid w:val="000B1FEA"/>
    <w:rsid w:val="000B241D"/>
    <w:rsid w:val="000B28D7"/>
    <w:rsid w:val="000B4019"/>
    <w:rsid w:val="000B690E"/>
    <w:rsid w:val="000B7837"/>
    <w:rsid w:val="000C2627"/>
    <w:rsid w:val="000C5390"/>
    <w:rsid w:val="000D49A6"/>
    <w:rsid w:val="000D5CFD"/>
    <w:rsid w:val="000D6298"/>
    <w:rsid w:val="000D6EEB"/>
    <w:rsid w:val="000D718D"/>
    <w:rsid w:val="000D79FB"/>
    <w:rsid w:val="000E2989"/>
    <w:rsid w:val="000E73EB"/>
    <w:rsid w:val="000F1D28"/>
    <w:rsid w:val="000F492A"/>
    <w:rsid w:val="001000D3"/>
    <w:rsid w:val="00100A19"/>
    <w:rsid w:val="00101686"/>
    <w:rsid w:val="00101BB3"/>
    <w:rsid w:val="00102BAF"/>
    <w:rsid w:val="00102E08"/>
    <w:rsid w:val="00105518"/>
    <w:rsid w:val="00110FA1"/>
    <w:rsid w:val="00111A4E"/>
    <w:rsid w:val="00113F79"/>
    <w:rsid w:val="0011595D"/>
    <w:rsid w:val="001174A0"/>
    <w:rsid w:val="001214BA"/>
    <w:rsid w:val="00122494"/>
    <w:rsid w:val="001234D2"/>
    <w:rsid w:val="00127E3A"/>
    <w:rsid w:val="0013124D"/>
    <w:rsid w:val="00131E86"/>
    <w:rsid w:val="00132776"/>
    <w:rsid w:val="001339EF"/>
    <w:rsid w:val="001358D7"/>
    <w:rsid w:val="0014157B"/>
    <w:rsid w:val="00142FBC"/>
    <w:rsid w:val="0014493E"/>
    <w:rsid w:val="00144D91"/>
    <w:rsid w:val="00145083"/>
    <w:rsid w:val="00147BD9"/>
    <w:rsid w:val="00150097"/>
    <w:rsid w:val="00151957"/>
    <w:rsid w:val="00151BDF"/>
    <w:rsid w:val="00151DAB"/>
    <w:rsid w:val="0015475A"/>
    <w:rsid w:val="00155F56"/>
    <w:rsid w:val="00156662"/>
    <w:rsid w:val="00157060"/>
    <w:rsid w:val="00161161"/>
    <w:rsid w:val="00162DFF"/>
    <w:rsid w:val="00164365"/>
    <w:rsid w:val="00164507"/>
    <w:rsid w:val="001645A2"/>
    <w:rsid w:val="00164745"/>
    <w:rsid w:val="00165BAC"/>
    <w:rsid w:val="00165FFE"/>
    <w:rsid w:val="00166DC5"/>
    <w:rsid w:val="00167545"/>
    <w:rsid w:val="00172319"/>
    <w:rsid w:val="00173CA5"/>
    <w:rsid w:val="001747EE"/>
    <w:rsid w:val="00175183"/>
    <w:rsid w:val="001752FE"/>
    <w:rsid w:val="00183149"/>
    <w:rsid w:val="001850B4"/>
    <w:rsid w:val="0018630C"/>
    <w:rsid w:val="0019067F"/>
    <w:rsid w:val="0019211B"/>
    <w:rsid w:val="0019355E"/>
    <w:rsid w:val="00196E36"/>
    <w:rsid w:val="00196F6A"/>
    <w:rsid w:val="001A0405"/>
    <w:rsid w:val="001A68FF"/>
    <w:rsid w:val="001B064F"/>
    <w:rsid w:val="001B0B6A"/>
    <w:rsid w:val="001B15AF"/>
    <w:rsid w:val="001B1AFA"/>
    <w:rsid w:val="001B34EA"/>
    <w:rsid w:val="001B7F5D"/>
    <w:rsid w:val="001C1BC7"/>
    <w:rsid w:val="001C4F7B"/>
    <w:rsid w:val="001C5E8F"/>
    <w:rsid w:val="001C6BBC"/>
    <w:rsid w:val="001C7AC5"/>
    <w:rsid w:val="001C7D6C"/>
    <w:rsid w:val="001D1D92"/>
    <w:rsid w:val="001D2487"/>
    <w:rsid w:val="001D2930"/>
    <w:rsid w:val="001D33B6"/>
    <w:rsid w:val="001D426D"/>
    <w:rsid w:val="001D53F0"/>
    <w:rsid w:val="001D6961"/>
    <w:rsid w:val="001E03A9"/>
    <w:rsid w:val="001E1AE2"/>
    <w:rsid w:val="001E2437"/>
    <w:rsid w:val="001E2E27"/>
    <w:rsid w:val="001E5258"/>
    <w:rsid w:val="001E5770"/>
    <w:rsid w:val="001E7CF3"/>
    <w:rsid w:val="001F10F1"/>
    <w:rsid w:val="001F3C1B"/>
    <w:rsid w:val="0020383F"/>
    <w:rsid w:val="00205F9D"/>
    <w:rsid w:val="00207EAD"/>
    <w:rsid w:val="002112AA"/>
    <w:rsid w:val="002122A5"/>
    <w:rsid w:val="002175BD"/>
    <w:rsid w:val="0022229C"/>
    <w:rsid w:val="002254FA"/>
    <w:rsid w:val="002273BB"/>
    <w:rsid w:val="00230059"/>
    <w:rsid w:val="00231E68"/>
    <w:rsid w:val="0023638E"/>
    <w:rsid w:val="00237A23"/>
    <w:rsid w:val="00240A7A"/>
    <w:rsid w:val="002414ED"/>
    <w:rsid w:val="002424DD"/>
    <w:rsid w:val="00245D26"/>
    <w:rsid w:val="00246596"/>
    <w:rsid w:val="002474BE"/>
    <w:rsid w:val="0025027D"/>
    <w:rsid w:val="00256B35"/>
    <w:rsid w:val="00256BF9"/>
    <w:rsid w:val="002573FA"/>
    <w:rsid w:val="00262708"/>
    <w:rsid w:val="002628F7"/>
    <w:rsid w:val="00262CE6"/>
    <w:rsid w:val="00267FC0"/>
    <w:rsid w:val="0027005F"/>
    <w:rsid w:val="002710B8"/>
    <w:rsid w:val="00273CF5"/>
    <w:rsid w:val="00274BFD"/>
    <w:rsid w:val="002755A9"/>
    <w:rsid w:val="00275B40"/>
    <w:rsid w:val="00285292"/>
    <w:rsid w:val="00285413"/>
    <w:rsid w:val="00285AA7"/>
    <w:rsid w:val="00287DE3"/>
    <w:rsid w:val="00292F99"/>
    <w:rsid w:val="0029419C"/>
    <w:rsid w:val="00294424"/>
    <w:rsid w:val="002947E8"/>
    <w:rsid w:val="002979E2"/>
    <w:rsid w:val="00297F61"/>
    <w:rsid w:val="002A12A5"/>
    <w:rsid w:val="002A5A46"/>
    <w:rsid w:val="002A6F99"/>
    <w:rsid w:val="002A7FB4"/>
    <w:rsid w:val="002B344B"/>
    <w:rsid w:val="002B60C3"/>
    <w:rsid w:val="002B6536"/>
    <w:rsid w:val="002B6B0D"/>
    <w:rsid w:val="002B7E9D"/>
    <w:rsid w:val="002C1199"/>
    <w:rsid w:val="002C2124"/>
    <w:rsid w:val="002C31F6"/>
    <w:rsid w:val="002C3472"/>
    <w:rsid w:val="002C382F"/>
    <w:rsid w:val="002C4078"/>
    <w:rsid w:val="002C6E80"/>
    <w:rsid w:val="002C7FC7"/>
    <w:rsid w:val="002D0234"/>
    <w:rsid w:val="002D048C"/>
    <w:rsid w:val="002D060E"/>
    <w:rsid w:val="002D5B61"/>
    <w:rsid w:val="002D5EC1"/>
    <w:rsid w:val="002D6F7B"/>
    <w:rsid w:val="002E18F2"/>
    <w:rsid w:val="002E53E4"/>
    <w:rsid w:val="002E6665"/>
    <w:rsid w:val="002F17DE"/>
    <w:rsid w:val="002F450E"/>
    <w:rsid w:val="002F5606"/>
    <w:rsid w:val="00300F74"/>
    <w:rsid w:val="00303827"/>
    <w:rsid w:val="003048A2"/>
    <w:rsid w:val="00304C34"/>
    <w:rsid w:val="00305774"/>
    <w:rsid w:val="0031063D"/>
    <w:rsid w:val="00311B27"/>
    <w:rsid w:val="003146DA"/>
    <w:rsid w:val="003148A1"/>
    <w:rsid w:val="00314B18"/>
    <w:rsid w:val="00320D85"/>
    <w:rsid w:val="003346AA"/>
    <w:rsid w:val="003347D6"/>
    <w:rsid w:val="003350F4"/>
    <w:rsid w:val="003370C8"/>
    <w:rsid w:val="003403EB"/>
    <w:rsid w:val="003415A1"/>
    <w:rsid w:val="00341C9D"/>
    <w:rsid w:val="00343081"/>
    <w:rsid w:val="003538A4"/>
    <w:rsid w:val="00353F24"/>
    <w:rsid w:val="00354EA0"/>
    <w:rsid w:val="003568E3"/>
    <w:rsid w:val="00357F07"/>
    <w:rsid w:val="00363597"/>
    <w:rsid w:val="003660F3"/>
    <w:rsid w:val="00367A48"/>
    <w:rsid w:val="00367D81"/>
    <w:rsid w:val="00372E0A"/>
    <w:rsid w:val="0037364E"/>
    <w:rsid w:val="003767B1"/>
    <w:rsid w:val="0037748E"/>
    <w:rsid w:val="00377B75"/>
    <w:rsid w:val="0038067B"/>
    <w:rsid w:val="00380E97"/>
    <w:rsid w:val="003812B2"/>
    <w:rsid w:val="0038331B"/>
    <w:rsid w:val="00383691"/>
    <w:rsid w:val="00384BCA"/>
    <w:rsid w:val="00385B80"/>
    <w:rsid w:val="003A3599"/>
    <w:rsid w:val="003A6D19"/>
    <w:rsid w:val="003A6E79"/>
    <w:rsid w:val="003B5258"/>
    <w:rsid w:val="003B6D48"/>
    <w:rsid w:val="003B70B8"/>
    <w:rsid w:val="003C0AC0"/>
    <w:rsid w:val="003C1BAE"/>
    <w:rsid w:val="003C2DB4"/>
    <w:rsid w:val="003D482A"/>
    <w:rsid w:val="003D4A3F"/>
    <w:rsid w:val="003D6DA8"/>
    <w:rsid w:val="003E1FDE"/>
    <w:rsid w:val="003E50CF"/>
    <w:rsid w:val="003E616E"/>
    <w:rsid w:val="003E6EC0"/>
    <w:rsid w:val="003E7723"/>
    <w:rsid w:val="003F0B7F"/>
    <w:rsid w:val="003F0F16"/>
    <w:rsid w:val="003F3457"/>
    <w:rsid w:val="003F53CE"/>
    <w:rsid w:val="003F5A29"/>
    <w:rsid w:val="0040122E"/>
    <w:rsid w:val="00406421"/>
    <w:rsid w:val="004066BC"/>
    <w:rsid w:val="004107F5"/>
    <w:rsid w:val="00410939"/>
    <w:rsid w:val="00412AAF"/>
    <w:rsid w:val="00414C16"/>
    <w:rsid w:val="004150F9"/>
    <w:rsid w:val="004176D8"/>
    <w:rsid w:val="00417A29"/>
    <w:rsid w:val="004228D4"/>
    <w:rsid w:val="004244C4"/>
    <w:rsid w:val="004273FC"/>
    <w:rsid w:val="00427D19"/>
    <w:rsid w:val="00432245"/>
    <w:rsid w:val="00434947"/>
    <w:rsid w:val="00435B3D"/>
    <w:rsid w:val="00436791"/>
    <w:rsid w:val="00444FDB"/>
    <w:rsid w:val="0045478E"/>
    <w:rsid w:val="00454821"/>
    <w:rsid w:val="00455D2C"/>
    <w:rsid w:val="004565C7"/>
    <w:rsid w:val="00456986"/>
    <w:rsid w:val="0045717D"/>
    <w:rsid w:val="00457CF8"/>
    <w:rsid w:val="00460CDE"/>
    <w:rsid w:val="004647ED"/>
    <w:rsid w:val="00467786"/>
    <w:rsid w:val="00471463"/>
    <w:rsid w:val="00485C20"/>
    <w:rsid w:val="00487752"/>
    <w:rsid w:val="00490734"/>
    <w:rsid w:val="00493731"/>
    <w:rsid w:val="004946D4"/>
    <w:rsid w:val="0049666B"/>
    <w:rsid w:val="00497947"/>
    <w:rsid w:val="00497A20"/>
    <w:rsid w:val="004A057E"/>
    <w:rsid w:val="004A080E"/>
    <w:rsid w:val="004A375B"/>
    <w:rsid w:val="004A3DF6"/>
    <w:rsid w:val="004A564C"/>
    <w:rsid w:val="004B3350"/>
    <w:rsid w:val="004B35FC"/>
    <w:rsid w:val="004B6047"/>
    <w:rsid w:val="004B66E8"/>
    <w:rsid w:val="004B6CE1"/>
    <w:rsid w:val="004C1903"/>
    <w:rsid w:val="004C2D4D"/>
    <w:rsid w:val="004C2F9F"/>
    <w:rsid w:val="004C69AD"/>
    <w:rsid w:val="004C6B42"/>
    <w:rsid w:val="004C7622"/>
    <w:rsid w:val="004D5915"/>
    <w:rsid w:val="004D73C6"/>
    <w:rsid w:val="004D7DA6"/>
    <w:rsid w:val="004E16AA"/>
    <w:rsid w:val="004E3FFB"/>
    <w:rsid w:val="004E65E4"/>
    <w:rsid w:val="004E6B0C"/>
    <w:rsid w:val="004F04A9"/>
    <w:rsid w:val="004F2C52"/>
    <w:rsid w:val="004F3330"/>
    <w:rsid w:val="004F6D15"/>
    <w:rsid w:val="00500484"/>
    <w:rsid w:val="005055BA"/>
    <w:rsid w:val="00505AB3"/>
    <w:rsid w:val="00510669"/>
    <w:rsid w:val="005132CE"/>
    <w:rsid w:val="0051368F"/>
    <w:rsid w:val="005139A0"/>
    <w:rsid w:val="0051610C"/>
    <w:rsid w:val="005178DB"/>
    <w:rsid w:val="00523888"/>
    <w:rsid w:val="005240D9"/>
    <w:rsid w:val="0052544F"/>
    <w:rsid w:val="00526649"/>
    <w:rsid w:val="00526CEC"/>
    <w:rsid w:val="005308F9"/>
    <w:rsid w:val="00531018"/>
    <w:rsid w:val="00531BC2"/>
    <w:rsid w:val="005329FB"/>
    <w:rsid w:val="00533774"/>
    <w:rsid w:val="005402ED"/>
    <w:rsid w:val="00540C71"/>
    <w:rsid w:val="00542FC2"/>
    <w:rsid w:val="0054418F"/>
    <w:rsid w:val="00544C36"/>
    <w:rsid w:val="00545FB2"/>
    <w:rsid w:val="00547D5A"/>
    <w:rsid w:val="00550181"/>
    <w:rsid w:val="00550430"/>
    <w:rsid w:val="00552F25"/>
    <w:rsid w:val="00552F62"/>
    <w:rsid w:val="0055697E"/>
    <w:rsid w:val="00556D03"/>
    <w:rsid w:val="005607E3"/>
    <w:rsid w:val="00561FD4"/>
    <w:rsid w:val="00563999"/>
    <w:rsid w:val="00566F5E"/>
    <w:rsid w:val="00567796"/>
    <w:rsid w:val="005677B4"/>
    <w:rsid w:val="0057370F"/>
    <w:rsid w:val="0057375F"/>
    <w:rsid w:val="005744C8"/>
    <w:rsid w:val="0058168F"/>
    <w:rsid w:val="00582450"/>
    <w:rsid w:val="005829FD"/>
    <w:rsid w:val="005845A9"/>
    <w:rsid w:val="00584CB3"/>
    <w:rsid w:val="005853C6"/>
    <w:rsid w:val="00585C08"/>
    <w:rsid w:val="00586D3E"/>
    <w:rsid w:val="0058729D"/>
    <w:rsid w:val="005923D5"/>
    <w:rsid w:val="00596CA0"/>
    <w:rsid w:val="005974F1"/>
    <w:rsid w:val="005A0BF0"/>
    <w:rsid w:val="005A1917"/>
    <w:rsid w:val="005A552A"/>
    <w:rsid w:val="005A70FB"/>
    <w:rsid w:val="005B3061"/>
    <w:rsid w:val="005B67D9"/>
    <w:rsid w:val="005B742C"/>
    <w:rsid w:val="005B771B"/>
    <w:rsid w:val="005C07B5"/>
    <w:rsid w:val="005C1C26"/>
    <w:rsid w:val="005C4262"/>
    <w:rsid w:val="005C46BA"/>
    <w:rsid w:val="005C4EA6"/>
    <w:rsid w:val="005C50B5"/>
    <w:rsid w:val="005C5197"/>
    <w:rsid w:val="005C6E41"/>
    <w:rsid w:val="005C721F"/>
    <w:rsid w:val="005C7837"/>
    <w:rsid w:val="005C7B90"/>
    <w:rsid w:val="005D0CFD"/>
    <w:rsid w:val="005D5E09"/>
    <w:rsid w:val="005D6A37"/>
    <w:rsid w:val="005D70D4"/>
    <w:rsid w:val="005E0E13"/>
    <w:rsid w:val="005E1869"/>
    <w:rsid w:val="005E3C8C"/>
    <w:rsid w:val="005E48FC"/>
    <w:rsid w:val="005E7E25"/>
    <w:rsid w:val="005F0760"/>
    <w:rsid w:val="005F0C38"/>
    <w:rsid w:val="005F4A93"/>
    <w:rsid w:val="005F543B"/>
    <w:rsid w:val="005F57AF"/>
    <w:rsid w:val="005F5F49"/>
    <w:rsid w:val="005F7EA7"/>
    <w:rsid w:val="006007A4"/>
    <w:rsid w:val="006007E2"/>
    <w:rsid w:val="0060122E"/>
    <w:rsid w:val="00604052"/>
    <w:rsid w:val="00604633"/>
    <w:rsid w:val="0060576A"/>
    <w:rsid w:val="00606A02"/>
    <w:rsid w:val="00606E32"/>
    <w:rsid w:val="0061100A"/>
    <w:rsid w:val="00611286"/>
    <w:rsid w:val="0061200B"/>
    <w:rsid w:val="0061267A"/>
    <w:rsid w:val="00615256"/>
    <w:rsid w:val="006158DB"/>
    <w:rsid w:val="00617CD1"/>
    <w:rsid w:val="0062095C"/>
    <w:rsid w:val="00622B8E"/>
    <w:rsid w:val="00623662"/>
    <w:rsid w:val="0062607C"/>
    <w:rsid w:val="0062721A"/>
    <w:rsid w:val="00627815"/>
    <w:rsid w:val="0063050C"/>
    <w:rsid w:val="00630E82"/>
    <w:rsid w:val="00631629"/>
    <w:rsid w:val="0063183D"/>
    <w:rsid w:val="00631D20"/>
    <w:rsid w:val="006324FD"/>
    <w:rsid w:val="00632590"/>
    <w:rsid w:val="006325EF"/>
    <w:rsid w:val="00632B0A"/>
    <w:rsid w:val="006345B2"/>
    <w:rsid w:val="00635A0C"/>
    <w:rsid w:val="00636F84"/>
    <w:rsid w:val="0063737B"/>
    <w:rsid w:val="0064159D"/>
    <w:rsid w:val="006435A3"/>
    <w:rsid w:val="00643D52"/>
    <w:rsid w:val="00647D21"/>
    <w:rsid w:val="00650135"/>
    <w:rsid w:val="006504A2"/>
    <w:rsid w:val="00651C91"/>
    <w:rsid w:val="00655824"/>
    <w:rsid w:val="00655BF8"/>
    <w:rsid w:val="00660195"/>
    <w:rsid w:val="00662C3A"/>
    <w:rsid w:val="00670B2A"/>
    <w:rsid w:val="006730EA"/>
    <w:rsid w:val="006735A6"/>
    <w:rsid w:val="0067402D"/>
    <w:rsid w:val="00674863"/>
    <w:rsid w:val="00675423"/>
    <w:rsid w:val="0068061C"/>
    <w:rsid w:val="00680C0C"/>
    <w:rsid w:val="00681E34"/>
    <w:rsid w:val="006825A9"/>
    <w:rsid w:val="00682D89"/>
    <w:rsid w:val="00683C92"/>
    <w:rsid w:val="00685C82"/>
    <w:rsid w:val="006869AD"/>
    <w:rsid w:val="00686C35"/>
    <w:rsid w:val="00687729"/>
    <w:rsid w:val="00687E2E"/>
    <w:rsid w:val="006913F2"/>
    <w:rsid w:val="00692263"/>
    <w:rsid w:val="006954D0"/>
    <w:rsid w:val="006956F2"/>
    <w:rsid w:val="00695D6C"/>
    <w:rsid w:val="006978E7"/>
    <w:rsid w:val="006A2525"/>
    <w:rsid w:val="006A3B68"/>
    <w:rsid w:val="006A4815"/>
    <w:rsid w:val="006A481C"/>
    <w:rsid w:val="006A585C"/>
    <w:rsid w:val="006A63B2"/>
    <w:rsid w:val="006A6A9D"/>
    <w:rsid w:val="006A7EC5"/>
    <w:rsid w:val="006B17F4"/>
    <w:rsid w:val="006B3912"/>
    <w:rsid w:val="006B4130"/>
    <w:rsid w:val="006B4491"/>
    <w:rsid w:val="006B4D03"/>
    <w:rsid w:val="006B742B"/>
    <w:rsid w:val="006C18FB"/>
    <w:rsid w:val="006C2BEB"/>
    <w:rsid w:val="006C37DD"/>
    <w:rsid w:val="006C4DF8"/>
    <w:rsid w:val="006D093D"/>
    <w:rsid w:val="006D35E2"/>
    <w:rsid w:val="006D4612"/>
    <w:rsid w:val="006D6A5F"/>
    <w:rsid w:val="006E120C"/>
    <w:rsid w:val="006E1F44"/>
    <w:rsid w:val="006E2D8B"/>
    <w:rsid w:val="006E2FB2"/>
    <w:rsid w:val="006E44CE"/>
    <w:rsid w:val="006E4DEE"/>
    <w:rsid w:val="006E4F2F"/>
    <w:rsid w:val="006E540C"/>
    <w:rsid w:val="006E7003"/>
    <w:rsid w:val="006E7B12"/>
    <w:rsid w:val="006F2B07"/>
    <w:rsid w:val="006F7F83"/>
    <w:rsid w:val="00700193"/>
    <w:rsid w:val="00700FC0"/>
    <w:rsid w:val="00701C06"/>
    <w:rsid w:val="007022A1"/>
    <w:rsid w:val="00703503"/>
    <w:rsid w:val="00705EAB"/>
    <w:rsid w:val="007061DA"/>
    <w:rsid w:val="00706383"/>
    <w:rsid w:val="00710462"/>
    <w:rsid w:val="007142AA"/>
    <w:rsid w:val="00715481"/>
    <w:rsid w:val="00715CEF"/>
    <w:rsid w:val="00720F9B"/>
    <w:rsid w:val="00722524"/>
    <w:rsid w:val="00722B11"/>
    <w:rsid w:val="00724451"/>
    <w:rsid w:val="00724B8E"/>
    <w:rsid w:val="00725696"/>
    <w:rsid w:val="00727219"/>
    <w:rsid w:val="0073041C"/>
    <w:rsid w:val="00731484"/>
    <w:rsid w:val="00732332"/>
    <w:rsid w:val="00734A63"/>
    <w:rsid w:val="007352B6"/>
    <w:rsid w:val="00735671"/>
    <w:rsid w:val="007409A6"/>
    <w:rsid w:val="0074212A"/>
    <w:rsid w:val="0074277A"/>
    <w:rsid w:val="00743B3E"/>
    <w:rsid w:val="00752654"/>
    <w:rsid w:val="00752EA1"/>
    <w:rsid w:val="00753F2C"/>
    <w:rsid w:val="007556FF"/>
    <w:rsid w:val="007562AA"/>
    <w:rsid w:val="007564A6"/>
    <w:rsid w:val="00756D94"/>
    <w:rsid w:val="00757E56"/>
    <w:rsid w:val="00760898"/>
    <w:rsid w:val="007631BB"/>
    <w:rsid w:val="00770F4E"/>
    <w:rsid w:val="007737BA"/>
    <w:rsid w:val="0077577D"/>
    <w:rsid w:val="007809DD"/>
    <w:rsid w:val="007817A1"/>
    <w:rsid w:val="00781EA7"/>
    <w:rsid w:val="007838B2"/>
    <w:rsid w:val="0078490A"/>
    <w:rsid w:val="00785411"/>
    <w:rsid w:val="00786AE6"/>
    <w:rsid w:val="00787B58"/>
    <w:rsid w:val="00787FB2"/>
    <w:rsid w:val="00790973"/>
    <w:rsid w:val="007915DE"/>
    <w:rsid w:val="0079165C"/>
    <w:rsid w:val="0079482C"/>
    <w:rsid w:val="0079592B"/>
    <w:rsid w:val="007A1EC6"/>
    <w:rsid w:val="007A36B7"/>
    <w:rsid w:val="007A3905"/>
    <w:rsid w:val="007A3AFB"/>
    <w:rsid w:val="007A4161"/>
    <w:rsid w:val="007A50FA"/>
    <w:rsid w:val="007A53C6"/>
    <w:rsid w:val="007A6235"/>
    <w:rsid w:val="007A68E4"/>
    <w:rsid w:val="007A6DB9"/>
    <w:rsid w:val="007A6F5A"/>
    <w:rsid w:val="007A73F2"/>
    <w:rsid w:val="007B2A8C"/>
    <w:rsid w:val="007B3C4E"/>
    <w:rsid w:val="007B7BEB"/>
    <w:rsid w:val="007B7F92"/>
    <w:rsid w:val="007C17F1"/>
    <w:rsid w:val="007C18AE"/>
    <w:rsid w:val="007C3D1D"/>
    <w:rsid w:val="007C62BB"/>
    <w:rsid w:val="007D09EF"/>
    <w:rsid w:val="007D173D"/>
    <w:rsid w:val="007D19E9"/>
    <w:rsid w:val="007D36AE"/>
    <w:rsid w:val="007D658F"/>
    <w:rsid w:val="007D69A9"/>
    <w:rsid w:val="007D7A60"/>
    <w:rsid w:val="007E370E"/>
    <w:rsid w:val="007E4936"/>
    <w:rsid w:val="007E6501"/>
    <w:rsid w:val="007F1CFD"/>
    <w:rsid w:val="007F576B"/>
    <w:rsid w:val="007F682E"/>
    <w:rsid w:val="007F778E"/>
    <w:rsid w:val="00802109"/>
    <w:rsid w:val="00804401"/>
    <w:rsid w:val="008110D4"/>
    <w:rsid w:val="008113D9"/>
    <w:rsid w:val="0081797D"/>
    <w:rsid w:val="00817EC0"/>
    <w:rsid w:val="00821B7A"/>
    <w:rsid w:val="0082296A"/>
    <w:rsid w:val="008325CF"/>
    <w:rsid w:val="00833BD9"/>
    <w:rsid w:val="00834769"/>
    <w:rsid w:val="00835F31"/>
    <w:rsid w:val="0083680C"/>
    <w:rsid w:val="00837458"/>
    <w:rsid w:val="00841894"/>
    <w:rsid w:val="0084288F"/>
    <w:rsid w:val="008459AA"/>
    <w:rsid w:val="0084620F"/>
    <w:rsid w:val="00846954"/>
    <w:rsid w:val="00847B62"/>
    <w:rsid w:val="00847ECE"/>
    <w:rsid w:val="00850228"/>
    <w:rsid w:val="00854945"/>
    <w:rsid w:val="0085651E"/>
    <w:rsid w:val="008566C4"/>
    <w:rsid w:val="00856D12"/>
    <w:rsid w:val="0086048B"/>
    <w:rsid w:val="00860731"/>
    <w:rsid w:val="00861615"/>
    <w:rsid w:val="008627C7"/>
    <w:rsid w:val="008704D0"/>
    <w:rsid w:val="00870DCF"/>
    <w:rsid w:val="00875D5E"/>
    <w:rsid w:val="00875DDB"/>
    <w:rsid w:val="0087766A"/>
    <w:rsid w:val="00877974"/>
    <w:rsid w:val="00884D89"/>
    <w:rsid w:val="008853EF"/>
    <w:rsid w:val="008854AF"/>
    <w:rsid w:val="00885CC1"/>
    <w:rsid w:val="0089342A"/>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250F"/>
    <w:rsid w:val="008B28D0"/>
    <w:rsid w:val="008B5FD7"/>
    <w:rsid w:val="008B62CC"/>
    <w:rsid w:val="008B7167"/>
    <w:rsid w:val="008C08FE"/>
    <w:rsid w:val="008C39FC"/>
    <w:rsid w:val="008C3DC0"/>
    <w:rsid w:val="008C4BB9"/>
    <w:rsid w:val="008D0C9E"/>
    <w:rsid w:val="008D118C"/>
    <w:rsid w:val="008D13FA"/>
    <w:rsid w:val="008D3A66"/>
    <w:rsid w:val="008D461B"/>
    <w:rsid w:val="008D5FCC"/>
    <w:rsid w:val="008E4975"/>
    <w:rsid w:val="008E5142"/>
    <w:rsid w:val="008E5220"/>
    <w:rsid w:val="008E5B94"/>
    <w:rsid w:val="008E6867"/>
    <w:rsid w:val="008E7282"/>
    <w:rsid w:val="008F1B70"/>
    <w:rsid w:val="008F258D"/>
    <w:rsid w:val="008F2DFE"/>
    <w:rsid w:val="008F50EB"/>
    <w:rsid w:val="008F67D6"/>
    <w:rsid w:val="008F7DD8"/>
    <w:rsid w:val="009025B7"/>
    <w:rsid w:val="0090711C"/>
    <w:rsid w:val="00913274"/>
    <w:rsid w:val="00916445"/>
    <w:rsid w:val="009215EF"/>
    <w:rsid w:val="00922102"/>
    <w:rsid w:val="00922387"/>
    <w:rsid w:val="00924E10"/>
    <w:rsid w:val="00933927"/>
    <w:rsid w:val="0093528D"/>
    <w:rsid w:val="00936255"/>
    <w:rsid w:val="00936FEA"/>
    <w:rsid w:val="0093716E"/>
    <w:rsid w:val="00937E7B"/>
    <w:rsid w:val="009410C3"/>
    <w:rsid w:val="0094122B"/>
    <w:rsid w:val="009427F5"/>
    <w:rsid w:val="00951355"/>
    <w:rsid w:val="00955387"/>
    <w:rsid w:val="0095593F"/>
    <w:rsid w:val="00957C53"/>
    <w:rsid w:val="00960918"/>
    <w:rsid w:val="00962447"/>
    <w:rsid w:val="009634D0"/>
    <w:rsid w:val="00966600"/>
    <w:rsid w:val="00967F3D"/>
    <w:rsid w:val="009716D8"/>
    <w:rsid w:val="00973978"/>
    <w:rsid w:val="0097586B"/>
    <w:rsid w:val="0098198E"/>
    <w:rsid w:val="00982CD4"/>
    <w:rsid w:val="00983C91"/>
    <w:rsid w:val="0098405B"/>
    <w:rsid w:val="00993A1E"/>
    <w:rsid w:val="00996360"/>
    <w:rsid w:val="009A03B0"/>
    <w:rsid w:val="009A1B41"/>
    <w:rsid w:val="009A259C"/>
    <w:rsid w:val="009A59D2"/>
    <w:rsid w:val="009B07A8"/>
    <w:rsid w:val="009B386A"/>
    <w:rsid w:val="009B6CDE"/>
    <w:rsid w:val="009B7557"/>
    <w:rsid w:val="009C0A33"/>
    <w:rsid w:val="009C0F1B"/>
    <w:rsid w:val="009C35D3"/>
    <w:rsid w:val="009C3EB7"/>
    <w:rsid w:val="009C4A0D"/>
    <w:rsid w:val="009C4A23"/>
    <w:rsid w:val="009C537C"/>
    <w:rsid w:val="009C6010"/>
    <w:rsid w:val="009C67C6"/>
    <w:rsid w:val="009C77BB"/>
    <w:rsid w:val="009C7FD3"/>
    <w:rsid w:val="009D1C76"/>
    <w:rsid w:val="009D2730"/>
    <w:rsid w:val="009D2E63"/>
    <w:rsid w:val="009D343B"/>
    <w:rsid w:val="009D499B"/>
    <w:rsid w:val="009D643C"/>
    <w:rsid w:val="009D7E39"/>
    <w:rsid w:val="009E0D38"/>
    <w:rsid w:val="009E2F14"/>
    <w:rsid w:val="009F0633"/>
    <w:rsid w:val="009F1916"/>
    <w:rsid w:val="009F56D7"/>
    <w:rsid w:val="009F71C0"/>
    <w:rsid w:val="009F7ED1"/>
    <w:rsid w:val="00A0161D"/>
    <w:rsid w:val="00A02265"/>
    <w:rsid w:val="00A1773A"/>
    <w:rsid w:val="00A17F74"/>
    <w:rsid w:val="00A21C85"/>
    <w:rsid w:val="00A2218C"/>
    <w:rsid w:val="00A229C9"/>
    <w:rsid w:val="00A245E2"/>
    <w:rsid w:val="00A25F91"/>
    <w:rsid w:val="00A320A2"/>
    <w:rsid w:val="00A34658"/>
    <w:rsid w:val="00A36CF9"/>
    <w:rsid w:val="00A40DF4"/>
    <w:rsid w:val="00A41FB4"/>
    <w:rsid w:val="00A43012"/>
    <w:rsid w:val="00A43B80"/>
    <w:rsid w:val="00A4556F"/>
    <w:rsid w:val="00A473EC"/>
    <w:rsid w:val="00A47FC6"/>
    <w:rsid w:val="00A50304"/>
    <w:rsid w:val="00A50FE3"/>
    <w:rsid w:val="00A601B9"/>
    <w:rsid w:val="00A609C3"/>
    <w:rsid w:val="00A62351"/>
    <w:rsid w:val="00A62629"/>
    <w:rsid w:val="00A66291"/>
    <w:rsid w:val="00A66C07"/>
    <w:rsid w:val="00A705E8"/>
    <w:rsid w:val="00A70A3E"/>
    <w:rsid w:val="00A70D1A"/>
    <w:rsid w:val="00A71AB9"/>
    <w:rsid w:val="00A72C6A"/>
    <w:rsid w:val="00A72E9D"/>
    <w:rsid w:val="00A72FA0"/>
    <w:rsid w:val="00A73E46"/>
    <w:rsid w:val="00A74D58"/>
    <w:rsid w:val="00A754BF"/>
    <w:rsid w:val="00A75F15"/>
    <w:rsid w:val="00A77ADD"/>
    <w:rsid w:val="00A82E5C"/>
    <w:rsid w:val="00A83CA5"/>
    <w:rsid w:val="00A85894"/>
    <w:rsid w:val="00A905D0"/>
    <w:rsid w:val="00A90D1B"/>
    <w:rsid w:val="00A94984"/>
    <w:rsid w:val="00A95552"/>
    <w:rsid w:val="00A95E65"/>
    <w:rsid w:val="00AA1EC5"/>
    <w:rsid w:val="00AA2824"/>
    <w:rsid w:val="00AA2F44"/>
    <w:rsid w:val="00AA5723"/>
    <w:rsid w:val="00AA5C4D"/>
    <w:rsid w:val="00AB3CCC"/>
    <w:rsid w:val="00AB48F7"/>
    <w:rsid w:val="00AB4F20"/>
    <w:rsid w:val="00AB57B1"/>
    <w:rsid w:val="00AB5C59"/>
    <w:rsid w:val="00AB73E2"/>
    <w:rsid w:val="00AB761E"/>
    <w:rsid w:val="00AC536D"/>
    <w:rsid w:val="00AC5C18"/>
    <w:rsid w:val="00AC75E6"/>
    <w:rsid w:val="00AD516A"/>
    <w:rsid w:val="00AD524B"/>
    <w:rsid w:val="00AD7B77"/>
    <w:rsid w:val="00AE04BE"/>
    <w:rsid w:val="00AE2894"/>
    <w:rsid w:val="00AE2AD2"/>
    <w:rsid w:val="00AE5AD4"/>
    <w:rsid w:val="00AE6082"/>
    <w:rsid w:val="00AE64B2"/>
    <w:rsid w:val="00AF316F"/>
    <w:rsid w:val="00AF55E2"/>
    <w:rsid w:val="00AF562B"/>
    <w:rsid w:val="00AF6722"/>
    <w:rsid w:val="00AF6E9F"/>
    <w:rsid w:val="00B00C18"/>
    <w:rsid w:val="00B01650"/>
    <w:rsid w:val="00B018A8"/>
    <w:rsid w:val="00B03043"/>
    <w:rsid w:val="00B0521B"/>
    <w:rsid w:val="00B06B32"/>
    <w:rsid w:val="00B106D3"/>
    <w:rsid w:val="00B108ED"/>
    <w:rsid w:val="00B10ABB"/>
    <w:rsid w:val="00B112C5"/>
    <w:rsid w:val="00B174A2"/>
    <w:rsid w:val="00B2169B"/>
    <w:rsid w:val="00B220F9"/>
    <w:rsid w:val="00B22562"/>
    <w:rsid w:val="00B23330"/>
    <w:rsid w:val="00B23B0B"/>
    <w:rsid w:val="00B23E4C"/>
    <w:rsid w:val="00B27DEF"/>
    <w:rsid w:val="00B27FDD"/>
    <w:rsid w:val="00B32520"/>
    <w:rsid w:val="00B32DC0"/>
    <w:rsid w:val="00B32F57"/>
    <w:rsid w:val="00B34DAD"/>
    <w:rsid w:val="00B35D63"/>
    <w:rsid w:val="00B434D6"/>
    <w:rsid w:val="00B435AF"/>
    <w:rsid w:val="00B45020"/>
    <w:rsid w:val="00B46084"/>
    <w:rsid w:val="00B4646D"/>
    <w:rsid w:val="00B46991"/>
    <w:rsid w:val="00B47F81"/>
    <w:rsid w:val="00B51AB0"/>
    <w:rsid w:val="00B54FE7"/>
    <w:rsid w:val="00B62456"/>
    <w:rsid w:val="00B63E9D"/>
    <w:rsid w:val="00B64577"/>
    <w:rsid w:val="00B65DCE"/>
    <w:rsid w:val="00B71499"/>
    <w:rsid w:val="00B71EF3"/>
    <w:rsid w:val="00B75289"/>
    <w:rsid w:val="00B75461"/>
    <w:rsid w:val="00B86CC2"/>
    <w:rsid w:val="00B900F5"/>
    <w:rsid w:val="00B90E1C"/>
    <w:rsid w:val="00B96F31"/>
    <w:rsid w:val="00BA16F9"/>
    <w:rsid w:val="00BA3D09"/>
    <w:rsid w:val="00BA6A83"/>
    <w:rsid w:val="00BB0EBC"/>
    <w:rsid w:val="00BB5D9C"/>
    <w:rsid w:val="00BB64E0"/>
    <w:rsid w:val="00BB7731"/>
    <w:rsid w:val="00BC1FC7"/>
    <w:rsid w:val="00BC508F"/>
    <w:rsid w:val="00BC5891"/>
    <w:rsid w:val="00BD05CD"/>
    <w:rsid w:val="00BD271B"/>
    <w:rsid w:val="00BD34FB"/>
    <w:rsid w:val="00BD3EDA"/>
    <w:rsid w:val="00BD57ED"/>
    <w:rsid w:val="00BE17B6"/>
    <w:rsid w:val="00BE244E"/>
    <w:rsid w:val="00BE255C"/>
    <w:rsid w:val="00BE46DD"/>
    <w:rsid w:val="00BE5F6C"/>
    <w:rsid w:val="00BE7988"/>
    <w:rsid w:val="00BF02EB"/>
    <w:rsid w:val="00BF06D1"/>
    <w:rsid w:val="00BF0A0C"/>
    <w:rsid w:val="00BF1642"/>
    <w:rsid w:val="00BF1A85"/>
    <w:rsid w:val="00BF1B4E"/>
    <w:rsid w:val="00BF478E"/>
    <w:rsid w:val="00BF51C3"/>
    <w:rsid w:val="00BF73E0"/>
    <w:rsid w:val="00BF7E73"/>
    <w:rsid w:val="00C00A2C"/>
    <w:rsid w:val="00C01F78"/>
    <w:rsid w:val="00C024D2"/>
    <w:rsid w:val="00C03F89"/>
    <w:rsid w:val="00C07BEB"/>
    <w:rsid w:val="00C1054B"/>
    <w:rsid w:val="00C11138"/>
    <w:rsid w:val="00C16354"/>
    <w:rsid w:val="00C16EA9"/>
    <w:rsid w:val="00C217EE"/>
    <w:rsid w:val="00C22AB8"/>
    <w:rsid w:val="00C23185"/>
    <w:rsid w:val="00C270E6"/>
    <w:rsid w:val="00C30546"/>
    <w:rsid w:val="00C305C3"/>
    <w:rsid w:val="00C31279"/>
    <w:rsid w:val="00C32A9B"/>
    <w:rsid w:val="00C336E1"/>
    <w:rsid w:val="00C34BBE"/>
    <w:rsid w:val="00C35538"/>
    <w:rsid w:val="00C35FCC"/>
    <w:rsid w:val="00C3671E"/>
    <w:rsid w:val="00C36E13"/>
    <w:rsid w:val="00C3758B"/>
    <w:rsid w:val="00C40505"/>
    <w:rsid w:val="00C414B5"/>
    <w:rsid w:val="00C456C0"/>
    <w:rsid w:val="00C45815"/>
    <w:rsid w:val="00C46F34"/>
    <w:rsid w:val="00C47949"/>
    <w:rsid w:val="00C50E36"/>
    <w:rsid w:val="00C51050"/>
    <w:rsid w:val="00C51F95"/>
    <w:rsid w:val="00C53228"/>
    <w:rsid w:val="00C5427B"/>
    <w:rsid w:val="00C54538"/>
    <w:rsid w:val="00C54761"/>
    <w:rsid w:val="00C55836"/>
    <w:rsid w:val="00C55F4D"/>
    <w:rsid w:val="00C61060"/>
    <w:rsid w:val="00C615EF"/>
    <w:rsid w:val="00C62557"/>
    <w:rsid w:val="00C7477B"/>
    <w:rsid w:val="00C74C0F"/>
    <w:rsid w:val="00C85164"/>
    <w:rsid w:val="00C94815"/>
    <w:rsid w:val="00C95FB1"/>
    <w:rsid w:val="00C96AFD"/>
    <w:rsid w:val="00C97351"/>
    <w:rsid w:val="00C9785D"/>
    <w:rsid w:val="00CA2C7E"/>
    <w:rsid w:val="00CA62A3"/>
    <w:rsid w:val="00CA7485"/>
    <w:rsid w:val="00CB1B6C"/>
    <w:rsid w:val="00CB2DB4"/>
    <w:rsid w:val="00CB4210"/>
    <w:rsid w:val="00CB62ED"/>
    <w:rsid w:val="00CB6F59"/>
    <w:rsid w:val="00CC2D03"/>
    <w:rsid w:val="00CC2D09"/>
    <w:rsid w:val="00CC33C2"/>
    <w:rsid w:val="00CC4D6C"/>
    <w:rsid w:val="00CC55A5"/>
    <w:rsid w:val="00CC5CF9"/>
    <w:rsid w:val="00CC66A5"/>
    <w:rsid w:val="00CC6F23"/>
    <w:rsid w:val="00CD1F12"/>
    <w:rsid w:val="00CD23B0"/>
    <w:rsid w:val="00CD3680"/>
    <w:rsid w:val="00CD4220"/>
    <w:rsid w:val="00CE0E58"/>
    <w:rsid w:val="00CE13E9"/>
    <w:rsid w:val="00CE1578"/>
    <w:rsid w:val="00CE204D"/>
    <w:rsid w:val="00CF1CFC"/>
    <w:rsid w:val="00CF40D5"/>
    <w:rsid w:val="00CF576E"/>
    <w:rsid w:val="00D00394"/>
    <w:rsid w:val="00D0056E"/>
    <w:rsid w:val="00D037E0"/>
    <w:rsid w:val="00D0639C"/>
    <w:rsid w:val="00D07A3F"/>
    <w:rsid w:val="00D07FCB"/>
    <w:rsid w:val="00D12318"/>
    <w:rsid w:val="00D1574C"/>
    <w:rsid w:val="00D162DF"/>
    <w:rsid w:val="00D17CDB"/>
    <w:rsid w:val="00D210EA"/>
    <w:rsid w:val="00D21A18"/>
    <w:rsid w:val="00D23877"/>
    <w:rsid w:val="00D24BFC"/>
    <w:rsid w:val="00D2636E"/>
    <w:rsid w:val="00D32918"/>
    <w:rsid w:val="00D34159"/>
    <w:rsid w:val="00D3439E"/>
    <w:rsid w:val="00D37A89"/>
    <w:rsid w:val="00D406B7"/>
    <w:rsid w:val="00D408AA"/>
    <w:rsid w:val="00D43E33"/>
    <w:rsid w:val="00D44B75"/>
    <w:rsid w:val="00D462BF"/>
    <w:rsid w:val="00D47703"/>
    <w:rsid w:val="00D51A66"/>
    <w:rsid w:val="00D533CD"/>
    <w:rsid w:val="00D53545"/>
    <w:rsid w:val="00D54FE4"/>
    <w:rsid w:val="00D57565"/>
    <w:rsid w:val="00D626B4"/>
    <w:rsid w:val="00D63248"/>
    <w:rsid w:val="00D64BBE"/>
    <w:rsid w:val="00D64CA8"/>
    <w:rsid w:val="00D6557D"/>
    <w:rsid w:val="00D65ED1"/>
    <w:rsid w:val="00D707EE"/>
    <w:rsid w:val="00D70A7E"/>
    <w:rsid w:val="00D731D3"/>
    <w:rsid w:val="00D74A42"/>
    <w:rsid w:val="00D76B57"/>
    <w:rsid w:val="00D847C5"/>
    <w:rsid w:val="00D84FE2"/>
    <w:rsid w:val="00D859B6"/>
    <w:rsid w:val="00D85EE1"/>
    <w:rsid w:val="00D87C01"/>
    <w:rsid w:val="00D928AB"/>
    <w:rsid w:val="00D9406B"/>
    <w:rsid w:val="00D95003"/>
    <w:rsid w:val="00D959F7"/>
    <w:rsid w:val="00D96931"/>
    <w:rsid w:val="00DA0C5D"/>
    <w:rsid w:val="00DA148A"/>
    <w:rsid w:val="00DA58CB"/>
    <w:rsid w:val="00DA6356"/>
    <w:rsid w:val="00DA63BA"/>
    <w:rsid w:val="00DA78B1"/>
    <w:rsid w:val="00DA7B30"/>
    <w:rsid w:val="00DB0FDF"/>
    <w:rsid w:val="00DB2C48"/>
    <w:rsid w:val="00DB3441"/>
    <w:rsid w:val="00DB3DCE"/>
    <w:rsid w:val="00DB5808"/>
    <w:rsid w:val="00DB593E"/>
    <w:rsid w:val="00DB5B8F"/>
    <w:rsid w:val="00DB5F95"/>
    <w:rsid w:val="00DB794E"/>
    <w:rsid w:val="00DC0D93"/>
    <w:rsid w:val="00DC10AF"/>
    <w:rsid w:val="00DC6BDA"/>
    <w:rsid w:val="00DD1993"/>
    <w:rsid w:val="00DD1B83"/>
    <w:rsid w:val="00DD1F31"/>
    <w:rsid w:val="00DD250E"/>
    <w:rsid w:val="00DD5E9D"/>
    <w:rsid w:val="00DE193D"/>
    <w:rsid w:val="00DE54B9"/>
    <w:rsid w:val="00DE5FF1"/>
    <w:rsid w:val="00DE6FE1"/>
    <w:rsid w:val="00DF1AC8"/>
    <w:rsid w:val="00DF2A5A"/>
    <w:rsid w:val="00DF6A97"/>
    <w:rsid w:val="00DF7389"/>
    <w:rsid w:val="00DF7C05"/>
    <w:rsid w:val="00E00524"/>
    <w:rsid w:val="00E01BDC"/>
    <w:rsid w:val="00E02E4D"/>
    <w:rsid w:val="00E03132"/>
    <w:rsid w:val="00E03849"/>
    <w:rsid w:val="00E040EC"/>
    <w:rsid w:val="00E05E44"/>
    <w:rsid w:val="00E05EF8"/>
    <w:rsid w:val="00E0773C"/>
    <w:rsid w:val="00E1180E"/>
    <w:rsid w:val="00E13FD3"/>
    <w:rsid w:val="00E27C9B"/>
    <w:rsid w:val="00E30B7E"/>
    <w:rsid w:val="00E3161B"/>
    <w:rsid w:val="00E31EF8"/>
    <w:rsid w:val="00E33960"/>
    <w:rsid w:val="00E349E2"/>
    <w:rsid w:val="00E356A7"/>
    <w:rsid w:val="00E35D53"/>
    <w:rsid w:val="00E3661A"/>
    <w:rsid w:val="00E36829"/>
    <w:rsid w:val="00E36FCC"/>
    <w:rsid w:val="00E37826"/>
    <w:rsid w:val="00E37BF4"/>
    <w:rsid w:val="00E41EEC"/>
    <w:rsid w:val="00E42AFD"/>
    <w:rsid w:val="00E44088"/>
    <w:rsid w:val="00E45DA0"/>
    <w:rsid w:val="00E51BFB"/>
    <w:rsid w:val="00E5277F"/>
    <w:rsid w:val="00E53019"/>
    <w:rsid w:val="00E5367B"/>
    <w:rsid w:val="00E53A38"/>
    <w:rsid w:val="00E561CE"/>
    <w:rsid w:val="00E562E0"/>
    <w:rsid w:val="00E565EA"/>
    <w:rsid w:val="00E569E7"/>
    <w:rsid w:val="00E57423"/>
    <w:rsid w:val="00E60AC5"/>
    <w:rsid w:val="00E614EC"/>
    <w:rsid w:val="00E61E39"/>
    <w:rsid w:val="00E63866"/>
    <w:rsid w:val="00E65AA1"/>
    <w:rsid w:val="00E66F38"/>
    <w:rsid w:val="00E672ED"/>
    <w:rsid w:val="00E70273"/>
    <w:rsid w:val="00E801ED"/>
    <w:rsid w:val="00E82728"/>
    <w:rsid w:val="00E85024"/>
    <w:rsid w:val="00E85213"/>
    <w:rsid w:val="00E87BCB"/>
    <w:rsid w:val="00E97214"/>
    <w:rsid w:val="00E9776B"/>
    <w:rsid w:val="00EA3922"/>
    <w:rsid w:val="00EA4A0D"/>
    <w:rsid w:val="00EA5940"/>
    <w:rsid w:val="00EA6EDC"/>
    <w:rsid w:val="00EB53F7"/>
    <w:rsid w:val="00EB779F"/>
    <w:rsid w:val="00EC18DC"/>
    <w:rsid w:val="00EC3220"/>
    <w:rsid w:val="00EC3646"/>
    <w:rsid w:val="00EC3F75"/>
    <w:rsid w:val="00EC540E"/>
    <w:rsid w:val="00EC580B"/>
    <w:rsid w:val="00ED1082"/>
    <w:rsid w:val="00ED163A"/>
    <w:rsid w:val="00ED27E3"/>
    <w:rsid w:val="00EE01E8"/>
    <w:rsid w:val="00EE14E7"/>
    <w:rsid w:val="00EE25C9"/>
    <w:rsid w:val="00EE2986"/>
    <w:rsid w:val="00EE3EDC"/>
    <w:rsid w:val="00EE5C1B"/>
    <w:rsid w:val="00EE64E9"/>
    <w:rsid w:val="00EF0B80"/>
    <w:rsid w:val="00EF19B9"/>
    <w:rsid w:val="00EF2DCB"/>
    <w:rsid w:val="00EF4340"/>
    <w:rsid w:val="00EF44DE"/>
    <w:rsid w:val="00EF7A3D"/>
    <w:rsid w:val="00F003C5"/>
    <w:rsid w:val="00F016D1"/>
    <w:rsid w:val="00F02E60"/>
    <w:rsid w:val="00F0586C"/>
    <w:rsid w:val="00F06061"/>
    <w:rsid w:val="00F10428"/>
    <w:rsid w:val="00F11120"/>
    <w:rsid w:val="00F11904"/>
    <w:rsid w:val="00F129A2"/>
    <w:rsid w:val="00F14D42"/>
    <w:rsid w:val="00F2282D"/>
    <w:rsid w:val="00F22C8F"/>
    <w:rsid w:val="00F25C1B"/>
    <w:rsid w:val="00F2630B"/>
    <w:rsid w:val="00F26C0F"/>
    <w:rsid w:val="00F2720F"/>
    <w:rsid w:val="00F30071"/>
    <w:rsid w:val="00F30587"/>
    <w:rsid w:val="00F31C27"/>
    <w:rsid w:val="00F3391B"/>
    <w:rsid w:val="00F34E95"/>
    <w:rsid w:val="00F36E84"/>
    <w:rsid w:val="00F36F77"/>
    <w:rsid w:val="00F41E55"/>
    <w:rsid w:val="00F425E4"/>
    <w:rsid w:val="00F4375A"/>
    <w:rsid w:val="00F43BDE"/>
    <w:rsid w:val="00F43EBE"/>
    <w:rsid w:val="00F468D7"/>
    <w:rsid w:val="00F47B0A"/>
    <w:rsid w:val="00F51294"/>
    <w:rsid w:val="00F515E2"/>
    <w:rsid w:val="00F51BB6"/>
    <w:rsid w:val="00F520A3"/>
    <w:rsid w:val="00F573FA"/>
    <w:rsid w:val="00F6043B"/>
    <w:rsid w:val="00F621BF"/>
    <w:rsid w:val="00F62277"/>
    <w:rsid w:val="00F637D3"/>
    <w:rsid w:val="00F63E1B"/>
    <w:rsid w:val="00F63E3C"/>
    <w:rsid w:val="00F65F92"/>
    <w:rsid w:val="00F663E7"/>
    <w:rsid w:val="00F66A04"/>
    <w:rsid w:val="00F67CF1"/>
    <w:rsid w:val="00F74597"/>
    <w:rsid w:val="00F75DE0"/>
    <w:rsid w:val="00F76B3F"/>
    <w:rsid w:val="00F803D0"/>
    <w:rsid w:val="00F824E5"/>
    <w:rsid w:val="00F8327A"/>
    <w:rsid w:val="00F83510"/>
    <w:rsid w:val="00F836D7"/>
    <w:rsid w:val="00F838E9"/>
    <w:rsid w:val="00F83BE3"/>
    <w:rsid w:val="00F843E6"/>
    <w:rsid w:val="00F86032"/>
    <w:rsid w:val="00F86904"/>
    <w:rsid w:val="00F87F56"/>
    <w:rsid w:val="00F92AF6"/>
    <w:rsid w:val="00F96F67"/>
    <w:rsid w:val="00FA18F8"/>
    <w:rsid w:val="00FA3B99"/>
    <w:rsid w:val="00FA4DC4"/>
    <w:rsid w:val="00FA6751"/>
    <w:rsid w:val="00FA6A8F"/>
    <w:rsid w:val="00FB1D74"/>
    <w:rsid w:val="00FB2794"/>
    <w:rsid w:val="00FB60F3"/>
    <w:rsid w:val="00FB68C2"/>
    <w:rsid w:val="00FC07CD"/>
    <w:rsid w:val="00FC1856"/>
    <w:rsid w:val="00FC18E0"/>
    <w:rsid w:val="00FC536F"/>
    <w:rsid w:val="00FC539A"/>
    <w:rsid w:val="00FD10B3"/>
    <w:rsid w:val="00FD2BDE"/>
    <w:rsid w:val="00FD7C13"/>
    <w:rsid w:val="00FD7D44"/>
    <w:rsid w:val="00FE08AD"/>
    <w:rsid w:val="00FE0A53"/>
    <w:rsid w:val="00FE22E1"/>
    <w:rsid w:val="00FE3CC0"/>
    <w:rsid w:val="00FE4B1C"/>
    <w:rsid w:val="00FE4C52"/>
    <w:rsid w:val="00FE5F84"/>
    <w:rsid w:val="00FE7054"/>
    <w:rsid w:val="00FE7BCF"/>
    <w:rsid w:val="00FE7FE3"/>
    <w:rsid w:val="00FF2161"/>
    <w:rsid w:val="00FF232F"/>
    <w:rsid w:val="00FF30E4"/>
    <w:rsid w:val="00FF5C53"/>
    <w:rsid w:val="01331507"/>
    <w:rsid w:val="01693828"/>
    <w:rsid w:val="018913B9"/>
    <w:rsid w:val="01C8489E"/>
    <w:rsid w:val="01CE77F8"/>
    <w:rsid w:val="01D46B46"/>
    <w:rsid w:val="01F02F61"/>
    <w:rsid w:val="020706BD"/>
    <w:rsid w:val="022C2E53"/>
    <w:rsid w:val="02335416"/>
    <w:rsid w:val="024C2B81"/>
    <w:rsid w:val="02824113"/>
    <w:rsid w:val="0286480C"/>
    <w:rsid w:val="02F15273"/>
    <w:rsid w:val="036D0140"/>
    <w:rsid w:val="03717766"/>
    <w:rsid w:val="038759F8"/>
    <w:rsid w:val="03AE127D"/>
    <w:rsid w:val="03AF75F7"/>
    <w:rsid w:val="03B17D75"/>
    <w:rsid w:val="04283BD0"/>
    <w:rsid w:val="04761999"/>
    <w:rsid w:val="04B75628"/>
    <w:rsid w:val="04BD1243"/>
    <w:rsid w:val="04E37E68"/>
    <w:rsid w:val="0532579B"/>
    <w:rsid w:val="05993B3D"/>
    <w:rsid w:val="05B003A1"/>
    <w:rsid w:val="060A735D"/>
    <w:rsid w:val="062B14BD"/>
    <w:rsid w:val="062B66C4"/>
    <w:rsid w:val="0647424A"/>
    <w:rsid w:val="066F0E80"/>
    <w:rsid w:val="069C5B40"/>
    <w:rsid w:val="06CE48D9"/>
    <w:rsid w:val="06D23F70"/>
    <w:rsid w:val="06EC321E"/>
    <w:rsid w:val="0708176C"/>
    <w:rsid w:val="07932A78"/>
    <w:rsid w:val="08094553"/>
    <w:rsid w:val="08723459"/>
    <w:rsid w:val="0895026B"/>
    <w:rsid w:val="08C5765D"/>
    <w:rsid w:val="08F2537E"/>
    <w:rsid w:val="0968127E"/>
    <w:rsid w:val="09716D3E"/>
    <w:rsid w:val="09824EA9"/>
    <w:rsid w:val="09885F8D"/>
    <w:rsid w:val="098F2F96"/>
    <w:rsid w:val="0A454262"/>
    <w:rsid w:val="0AA70663"/>
    <w:rsid w:val="0AA8006B"/>
    <w:rsid w:val="0AD44ECB"/>
    <w:rsid w:val="0AF10769"/>
    <w:rsid w:val="0B5D75F9"/>
    <w:rsid w:val="0B6C3211"/>
    <w:rsid w:val="0B854DA0"/>
    <w:rsid w:val="0B8F5D30"/>
    <w:rsid w:val="0BBB5C08"/>
    <w:rsid w:val="0C0E12F4"/>
    <w:rsid w:val="0C4D29C8"/>
    <w:rsid w:val="0D0A51E2"/>
    <w:rsid w:val="0D1C68A3"/>
    <w:rsid w:val="0D29366E"/>
    <w:rsid w:val="0D2D77C1"/>
    <w:rsid w:val="0D886EFE"/>
    <w:rsid w:val="0D8B2B40"/>
    <w:rsid w:val="0DAA3747"/>
    <w:rsid w:val="0E0E3546"/>
    <w:rsid w:val="0E1B0988"/>
    <w:rsid w:val="0E4864A1"/>
    <w:rsid w:val="0E666D78"/>
    <w:rsid w:val="0E6B3F1C"/>
    <w:rsid w:val="0E6E062D"/>
    <w:rsid w:val="0ED43026"/>
    <w:rsid w:val="0EE355C9"/>
    <w:rsid w:val="0F113188"/>
    <w:rsid w:val="0F550A75"/>
    <w:rsid w:val="0F6D0FDF"/>
    <w:rsid w:val="0F88635A"/>
    <w:rsid w:val="0FBB0ED1"/>
    <w:rsid w:val="101A1948"/>
    <w:rsid w:val="10A959E1"/>
    <w:rsid w:val="10C4287F"/>
    <w:rsid w:val="10E15181"/>
    <w:rsid w:val="10E71620"/>
    <w:rsid w:val="11055897"/>
    <w:rsid w:val="11111416"/>
    <w:rsid w:val="11477335"/>
    <w:rsid w:val="11565C2E"/>
    <w:rsid w:val="115C0963"/>
    <w:rsid w:val="11EB156E"/>
    <w:rsid w:val="1247056F"/>
    <w:rsid w:val="12780341"/>
    <w:rsid w:val="127B5B43"/>
    <w:rsid w:val="12845BAA"/>
    <w:rsid w:val="129174C9"/>
    <w:rsid w:val="12C77FE5"/>
    <w:rsid w:val="130B675D"/>
    <w:rsid w:val="131656BB"/>
    <w:rsid w:val="132E7C57"/>
    <w:rsid w:val="13505BD6"/>
    <w:rsid w:val="136F6F42"/>
    <w:rsid w:val="13835104"/>
    <w:rsid w:val="138C54D3"/>
    <w:rsid w:val="13AD3EFD"/>
    <w:rsid w:val="153A78FA"/>
    <w:rsid w:val="16077093"/>
    <w:rsid w:val="16405C1E"/>
    <w:rsid w:val="16481D80"/>
    <w:rsid w:val="16507CAF"/>
    <w:rsid w:val="169A6CD7"/>
    <w:rsid w:val="16EA49EA"/>
    <w:rsid w:val="17774F45"/>
    <w:rsid w:val="1787745F"/>
    <w:rsid w:val="1798548E"/>
    <w:rsid w:val="17B836EA"/>
    <w:rsid w:val="1845080D"/>
    <w:rsid w:val="188844DC"/>
    <w:rsid w:val="18B36FB4"/>
    <w:rsid w:val="18C24F4E"/>
    <w:rsid w:val="18E02F4C"/>
    <w:rsid w:val="190B544A"/>
    <w:rsid w:val="195D61E5"/>
    <w:rsid w:val="195D6DD8"/>
    <w:rsid w:val="196D787C"/>
    <w:rsid w:val="197E7572"/>
    <w:rsid w:val="19B412DF"/>
    <w:rsid w:val="19B968F6"/>
    <w:rsid w:val="1A2C68D0"/>
    <w:rsid w:val="1A4C1660"/>
    <w:rsid w:val="1A690FDB"/>
    <w:rsid w:val="1AAA4556"/>
    <w:rsid w:val="1AF14E20"/>
    <w:rsid w:val="1B01427F"/>
    <w:rsid w:val="1B134426"/>
    <w:rsid w:val="1B795E91"/>
    <w:rsid w:val="1B813A90"/>
    <w:rsid w:val="1BB91CE2"/>
    <w:rsid w:val="1BF44339"/>
    <w:rsid w:val="1CC74E9E"/>
    <w:rsid w:val="1CDD770A"/>
    <w:rsid w:val="1CE85AA1"/>
    <w:rsid w:val="1D497922"/>
    <w:rsid w:val="1D5E6244"/>
    <w:rsid w:val="1D867218"/>
    <w:rsid w:val="1D873166"/>
    <w:rsid w:val="1DAA4614"/>
    <w:rsid w:val="1DAD6AF9"/>
    <w:rsid w:val="1DBE1B18"/>
    <w:rsid w:val="1DC14623"/>
    <w:rsid w:val="1DC609B4"/>
    <w:rsid w:val="1E087FD5"/>
    <w:rsid w:val="1E214AC9"/>
    <w:rsid w:val="1E4210B1"/>
    <w:rsid w:val="1E4C7019"/>
    <w:rsid w:val="1E7B061E"/>
    <w:rsid w:val="1E826D3F"/>
    <w:rsid w:val="1F0203C1"/>
    <w:rsid w:val="1FF33719"/>
    <w:rsid w:val="2005064D"/>
    <w:rsid w:val="203A125D"/>
    <w:rsid w:val="205018F0"/>
    <w:rsid w:val="20897FBC"/>
    <w:rsid w:val="20B06CF0"/>
    <w:rsid w:val="20D56184"/>
    <w:rsid w:val="20F01B39"/>
    <w:rsid w:val="21413747"/>
    <w:rsid w:val="215F7E73"/>
    <w:rsid w:val="216058A9"/>
    <w:rsid w:val="21B532F0"/>
    <w:rsid w:val="21F76617"/>
    <w:rsid w:val="22A05F5F"/>
    <w:rsid w:val="22E63EDA"/>
    <w:rsid w:val="230513F1"/>
    <w:rsid w:val="231E0BE2"/>
    <w:rsid w:val="23427BFC"/>
    <w:rsid w:val="235C12F1"/>
    <w:rsid w:val="238C7680"/>
    <w:rsid w:val="23C94B19"/>
    <w:rsid w:val="23DC7910"/>
    <w:rsid w:val="23F454AB"/>
    <w:rsid w:val="240F3F8E"/>
    <w:rsid w:val="243F0773"/>
    <w:rsid w:val="24403D7F"/>
    <w:rsid w:val="2479076E"/>
    <w:rsid w:val="249155D9"/>
    <w:rsid w:val="24D06F94"/>
    <w:rsid w:val="24F72FDF"/>
    <w:rsid w:val="25135F2D"/>
    <w:rsid w:val="25452902"/>
    <w:rsid w:val="258F200E"/>
    <w:rsid w:val="25E45783"/>
    <w:rsid w:val="26001F0F"/>
    <w:rsid w:val="26910D56"/>
    <w:rsid w:val="26E93980"/>
    <w:rsid w:val="27040502"/>
    <w:rsid w:val="272834D3"/>
    <w:rsid w:val="278700A3"/>
    <w:rsid w:val="278E4C32"/>
    <w:rsid w:val="27C5344D"/>
    <w:rsid w:val="27D52956"/>
    <w:rsid w:val="27E064CE"/>
    <w:rsid w:val="27E2003E"/>
    <w:rsid w:val="2818686F"/>
    <w:rsid w:val="282230A2"/>
    <w:rsid w:val="284A4017"/>
    <w:rsid w:val="284B5610"/>
    <w:rsid w:val="289B6FE6"/>
    <w:rsid w:val="28D50537"/>
    <w:rsid w:val="28D9700F"/>
    <w:rsid w:val="28F45600"/>
    <w:rsid w:val="290149BA"/>
    <w:rsid w:val="2906263C"/>
    <w:rsid w:val="29180388"/>
    <w:rsid w:val="2933714C"/>
    <w:rsid w:val="293851FB"/>
    <w:rsid w:val="29425E0B"/>
    <w:rsid w:val="29543878"/>
    <w:rsid w:val="29770E4D"/>
    <w:rsid w:val="29A64DD9"/>
    <w:rsid w:val="29CC345F"/>
    <w:rsid w:val="29EE77DC"/>
    <w:rsid w:val="29F357D7"/>
    <w:rsid w:val="29FA0AF7"/>
    <w:rsid w:val="2A264ECA"/>
    <w:rsid w:val="2A312553"/>
    <w:rsid w:val="2A652799"/>
    <w:rsid w:val="2AD64E27"/>
    <w:rsid w:val="2AFB10F1"/>
    <w:rsid w:val="2B166C16"/>
    <w:rsid w:val="2B1A1A71"/>
    <w:rsid w:val="2B3F77DC"/>
    <w:rsid w:val="2B556F25"/>
    <w:rsid w:val="2B8726E1"/>
    <w:rsid w:val="2BB90555"/>
    <w:rsid w:val="2C0472BB"/>
    <w:rsid w:val="2C100160"/>
    <w:rsid w:val="2C1174B7"/>
    <w:rsid w:val="2C2C655E"/>
    <w:rsid w:val="2C8709B7"/>
    <w:rsid w:val="2D0102DE"/>
    <w:rsid w:val="2D425FC3"/>
    <w:rsid w:val="2D596087"/>
    <w:rsid w:val="2DAA0FA0"/>
    <w:rsid w:val="2DAA6BB2"/>
    <w:rsid w:val="2DDE5F7C"/>
    <w:rsid w:val="2DE6652B"/>
    <w:rsid w:val="2E022F1E"/>
    <w:rsid w:val="2EF06D3E"/>
    <w:rsid w:val="2EFC1307"/>
    <w:rsid w:val="2FCD31DD"/>
    <w:rsid w:val="2FE05D96"/>
    <w:rsid w:val="2FE112A0"/>
    <w:rsid w:val="2FEB097B"/>
    <w:rsid w:val="306E6CAD"/>
    <w:rsid w:val="3088030E"/>
    <w:rsid w:val="314732BA"/>
    <w:rsid w:val="315879C4"/>
    <w:rsid w:val="31777072"/>
    <w:rsid w:val="317E3072"/>
    <w:rsid w:val="31A51940"/>
    <w:rsid w:val="31AD0C9A"/>
    <w:rsid w:val="31B1294C"/>
    <w:rsid w:val="323C2A77"/>
    <w:rsid w:val="323E75A2"/>
    <w:rsid w:val="32D5770E"/>
    <w:rsid w:val="32E22771"/>
    <w:rsid w:val="33420129"/>
    <w:rsid w:val="33711FE2"/>
    <w:rsid w:val="33821DD9"/>
    <w:rsid w:val="338513F0"/>
    <w:rsid w:val="33930F2E"/>
    <w:rsid w:val="33B92C50"/>
    <w:rsid w:val="33BD61A9"/>
    <w:rsid w:val="34022DE7"/>
    <w:rsid w:val="34043B75"/>
    <w:rsid w:val="34603981"/>
    <w:rsid w:val="347E4256"/>
    <w:rsid w:val="34854AA3"/>
    <w:rsid w:val="34B360B5"/>
    <w:rsid w:val="34C525DE"/>
    <w:rsid w:val="350774C1"/>
    <w:rsid w:val="35302F9A"/>
    <w:rsid w:val="35320682"/>
    <w:rsid w:val="35497823"/>
    <w:rsid w:val="35530C77"/>
    <w:rsid w:val="35551F44"/>
    <w:rsid w:val="35642C10"/>
    <w:rsid w:val="35663DDB"/>
    <w:rsid w:val="35752335"/>
    <w:rsid w:val="358F0E42"/>
    <w:rsid w:val="35966214"/>
    <w:rsid w:val="35D22DC1"/>
    <w:rsid w:val="361C348B"/>
    <w:rsid w:val="362E74B6"/>
    <w:rsid w:val="3643411E"/>
    <w:rsid w:val="36616B6A"/>
    <w:rsid w:val="36695095"/>
    <w:rsid w:val="370B52CC"/>
    <w:rsid w:val="37801490"/>
    <w:rsid w:val="37E33205"/>
    <w:rsid w:val="38116254"/>
    <w:rsid w:val="38297210"/>
    <w:rsid w:val="38637385"/>
    <w:rsid w:val="3877009E"/>
    <w:rsid w:val="387A08DB"/>
    <w:rsid w:val="38DF212C"/>
    <w:rsid w:val="38E94BB1"/>
    <w:rsid w:val="39295A9B"/>
    <w:rsid w:val="39327B75"/>
    <w:rsid w:val="39347743"/>
    <w:rsid w:val="399B0FF2"/>
    <w:rsid w:val="39B301A7"/>
    <w:rsid w:val="39E473F0"/>
    <w:rsid w:val="3A1F4274"/>
    <w:rsid w:val="3A237B1A"/>
    <w:rsid w:val="3A926219"/>
    <w:rsid w:val="3A936964"/>
    <w:rsid w:val="3AA0523C"/>
    <w:rsid w:val="3AA711E3"/>
    <w:rsid w:val="3AC210CC"/>
    <w:rsid w:val="3AE71B7E"/>
    <w:rsid w:val="3B034449"/>
    <w:rsid w:val="3B3140E6"/>
    <w:rsid w:val="3B40604C"/>
    <w:rsid w:val="3B6F5F03"/>
    <w:rsid w:val="3B8B1F9D"/>
    <w:rsid w:val="3BF1171A"/>
    <w:rsid w:val="3BF37F6B"/>
    <w:rsid w:val="3C245E6D"/>
    <w:rsid w:val="3C4E151D"/>
    <w:rsid w:val="3C775259"/>
    <w:rsid w:val="3CA03E56"/>
    <w:rsid w:val="3CBE8D26"/>
    <w:rsid w:val="3CFE0B9A"/>
    <w:rsid w:val="3D47679C"/>
    <w:rsid w:val="3D4B1EBE"/>
    <w:rsid w:val="3D6C5D75"/>
    <w:rsid w:val="3DD84C49"/>
    <w:rsid w:val="3DF44764"/>
    <w:rsid w:val="3E643E79"/>
    <w:rsid w:val="3EBB4DE3"/>
    <w:rsid w:val="3EFC3EC7"/>
    <w:rsid w:val="3F31733A"/>
    <w:rsid w:val="3F6715CF"/>
    <w:rsid w:val="3F694C97"/>
    <w:rsid w:val="3F73586F"/>
    <w:rsid w:val="3F7F7B16"/>
    <w:rsid w:val="3F9F9C2F"/>
    <w:rsid w:val="400E15FD"/>
    <w:rsid w:val="40B65A07"/>
    <w:rsid w:val="40BF698B"/>
    <w:rsid w:val="40DC29D5"/>
    <w:rsid w:val="40F258DE"/>
    <w:rsid w:val="41051621"/>
    <w:rsid w:val="4109623E"/>
    <w:rsid w:val="412D49D1"/>
    <w:rsid w:val="415D0380"/>
    <w:rsid w:val="418E6F2C"/>
    <w:rsid w:val="42390C0C"/>
    <w:rsid w:val="42543C43"/>
    <w:rsid w:val="427B245C"/>
    <w:rsid w:val="427F0DB9"/>
    <w:rsid w:val="429D040A"/>
    <w:rsid w:val="42B75715"/>
    <w:rsid w:val="42CC3C8C"/>
    <w:rsid w:val="43000C42"/>
    <w:rsid w:val="431F60B7"/>
    <w:rsid w:val="434C5E77"/>
    <w:rsid w:val="434D4FCA"/>
    <w:rsid w:val="43601A0D"/>
    <w:rsid w:val="4363207A"/>
    <w:rsid w:val="4375781D"/>
    <w:rsid w:val="43776F2A"/>
    <w:rsid w:val="43E578DE"/>
    <w:rsid w:val="440D7993"/>
    <w:rsid w:val="441419A0"/>
    <w:rsid w:val="444E2FA9"/>
    <w:rsid w:val="44B33DF7"/>
    <w:rsid w:val="453F3B40"/>
    <w:rsid w:val="45905154"/>
    <w:rsid w:val="45985366"/>
    <w:rsid w:val="45E92A95"/>
    <w:rsid w:val="461F16DA"/>
    <w:rsid w:val="4622437C"/>
    <w:rsid w:val="466A7FEF"/>
    <w:rsid w:val="4688318C"/>
    <w:rsid w:val="469868E4"/>
    <w:rsid w:val="46994287"/>
    <w:rsid w:val="46D0343E"/>
    <w:rsid w:val="46E72339"/>
    <w:rsid w:val="46F24A44"/>
    <w:rsid w:val="46FB73A5"/>
    <w:rsid w:val="47790688"/>
    <w:rsid w:val="477911E5"/>
    <w:rsid w:val="477D4819"/>
    <w:rsid w:val="47A35C0A"/>
    <w:rsid w:val="47A95D1A"/>
    <w:rsid w:val="48215B7E"/>
    <w:rsid w:val="483B274D"/>
    <w:rsid w:val="484F18CD"/>
    <w:rsid w:val="48AC0309"/>
    <w:rsid w:val="48AC6537"/>
    <w:rsid w:val="48D61324"/>
    <w:rsid w:val="49163D82"/>
    <w:rsid w:val="49403935"/>
    <w:rsid w:val="499C13D0"/>
    <w:rsid w:val="499D6A36"/>
    <w:rsid w:val="49A32653"/>
    <w:rsid w:val="49A66BF7"/>
    <w:rsid w:val="49F92C25"/>
    <w:rsid w:val="4A351BA6"/>
    <w:rsid w:val="4A506115"/>
    <w:rsid w:val="4AA918E5"/>
    <w:rsid w:val="4AB74433"/>
    <w:rsid w:val="4AFC6780"/>
    <w:rsid w:val="4B2852DF"/>
    <w:rsid w:val="4B29778A"/>
    <w:rsid w:val="4B747120"/>
    <w:rsid w:val="4B83327F"/>
    <w:rsid w:val="4BDA60D4"/>
    <w:rsid w:val="4BEC2AEC"/>
    <w:rsid w:val="4BF12749"/>
    <w:rsid w:val="4C064E0C"/>
    <w:rsid w:val="4C1D34A6"/>
    <w:rsid w:val="4C25528E"/>
    <w:rsid w:val="4C570208"/>
    <w:rsid w:val="4C5E4F57"/>
    <w:rsid w:val="4CA324F0"/>
    <w:rsid w:val="4D0161CA"/>
    <w:rsid w:val="4D307443"/>
    <w:rsid w:val="4DD35307"/>
    <w:rsid w:val="4DD80923"/>
    <w:rsid w:val="4DED778E"/>
    <w:rsid w:val="4E0D3D85"/>
    <w:rsid w:val="4E2C7502"/>
    <w:rsid w:val="4E355D90"/>
    <w:rsid w:val="4E7D33B8"/>
    <w:rsid w:val="4E9647D5"/>
    <w:rsid w:val="4E9E163B"/>
    <w:rsid w:val="4F5903AB"/>
    <w:rsid w:val="4F5C762A"/>
    <w:rsid w:val="4F6C6FA5"/>
    <w:rsid w:val="4F71240E"/>
    <w:rsid w:val="4F792F2C"/>
    <w:rsid w:val="4FDE2B46"/>
    <w:rsid w:val="501247DB"/>
    <w:rsid w:val="50411656"/>
    <w:rsid w:val="50570FBA"/>
    <w:rsid w:val="507249F2"/>
    <w:rsid w:val="507646F1"/>
    <w:rsid w:val="50AD38E0"/>
    <w:rsid w:val="50EC2B32"/>
    <w:rsid w:val="51357E73"/>
    <w:rsid w:val="514D665C"/>
    <w:rsid w:val="51695F30"/>
    <w:rsid w:val="520862B2"/>
    <w:rsid w:val="5252273A"/>
    <w:rsid w:val="52D042B0"/>
    <w:rsid w:val="52E62CD1"/>
    <w:rsid w:val="534D63D8"/>
    <w:rsid w:val="53B339BC"/>
    <w:rsid w:val="53D75426"/>
    <w:rsid w:val="53DE6B63"/>
    <w:rsid w:val="53F00D50"/>
    <w:rsid w:val="53F16B64"/>
    <w:rsid w:val="53F96AA0"/>
    <w:rsid w:val="53FE5F8C"/>
    <w:rsid w:val="5401314D"/>
    <w:rsid w:val="541D45AB"/>
    <w:rsid w:val="548E6DCC"/>
    <w:rsid w:val="54AB4AB2"/>
    <w:rsid w:val="54C34393"/>
    <w:rsid w:val="54F207B6"/>
    <w:rsid w:val="55023F32"/>
    <w:rsid w:val="550F0431"/>
    <w:rsid w:val="563C5975"/>
    <w:rsid w:val="565D2FE2"/>
    <w:rsid w:val="56C06723"/>
    <w:rsid w:val="56C65BD3"/>
    <w:rsid w:val="57281C1D"/>
    <w:rsid w:val="57371332"/>
    <w:rsid w:val="57410442"/>
    <w:rsid w:val="57636327"/>
    <w:rsid w:val="57897C7F"/>
    <w:rsid w:val="57DA7B88"/>
    <w:rsid w:val="582506DA"/>
    <w:rsid w:val="58320DDF"/>
    <w:rsid w:val="583F51EF"/>
    <w:rsid w:val="58867326"/>
    <w:rsid w:val="58A35635"/>
    <w:rsid w:val="58F142CD"/>
    <w:rsid w:val="594C417A"/>
    <w:rsid w:val="59771406"/>
    <w:rsid w:val="59C861B6"/>
    <w:rsid w:val="5A0D22ED"/>
    <w:rsid w:val="5A9D103F"/>
    <w:rsid w:val="5AA4503F"/>
    <w:rsid w:val="5AA606D8"/>
    <w:rsid w:val="5AAC603C"/>
    <w:rsid w:val="5AAC7A6A"/>
    <w:rsid w:val="5AD051AC"/>
    <w:rsid w:val="5AD74D17"/>
    <w:rsid w:val="5ADE4497"/>
    <w:rsid w:val="5B094495"/>
    <w:rsid w:val="5B1E7976"/>
    <w:rsid w:val="5B1F733D"/>
    <w:rsid w:val="5B2C497C"/>
    <w:rsid w:val="5B431C82"/>
    <w:rsid w:val="5B734F09"/>
    <w:rsid w:val="5B8B7DAF"/>
    <w:rsid w:val="5B963A24"/>
    <w:rsid w:val="5BC71DA2"/>
    <w:rsid w:val="5BEF4285"/>
    <w:rsid w:val="5BF25FF3"/>
    <w:rsid w:val="5C042965"/>
    <w:rsid w:val="5C0644E1"/>
    <w:rsid w:val="5C10214D"/>
    <w:rsid w:val="5C3B4800"/>
    <w:rsid w:val="5C4D21B4"/>
    <w:rsid w:val="5C821B34"/>
    <w:rsid w:val="5D243653"/>
    <w:rsid w:val="5D2A52E6"/>
    <w:rsid w:val="5D5E3140"/>
    <w:rsid w:val="5D7D36D7"/>
    <w:rsid w:val="5DD63E78"/>
    <w:rsid w:val="5DED06E1"/>
    <w:rsid w:val="5E05593E"/>
    <w:rsid w:val="5E151ECB"/>
    <w:rsid w:val="5E257683"/>
    <w:rsid w:val="5E36363E"/>
    <w:rsid w:val="5E3D4E04"/>
    <w:rsid w:val="5E620192"/>
    <w:rsid w:val="5E6D7303"/>
    <w:rsid w:val="5E8A3262"/>
    <w:rsid w:val="5E8B0215"/>
    <w:rsid w:val="5EBA050C"/>
    <w:rsid w:val="5EE725D9"/>
    <w:rsid w:val="5EEC1DEA"/>
    <w:rsid w:val="5F5C1B25"/>
    <w:rsid w:val="5F6F4F38"/>
    <w:rsid w:val="5F724E2C"/>
    <w:rsid w:val="5F875C2B"/>
    <w:rsid w:val="5F8D2C98"/>
    <w:rsid w:val="5FD868F6"/>
    <w:rsid w:val="608F34D9"/>
    <w:rsid w:val="6096307D"/>
    <w:rsid w:val="60B064DE"/>
    <w:rsid w:val="60DB465A"/>
    <w:rsid w:val="61176547"/>
    <w:rsid w:val="613C0839"/>
    <w:rsid w:val="613D5C82"/>
    <w:rsid w:val="61B40640"/>
    <w:rsid w:val="61BD221B"/>
    <w:rsid w:val="61C06A6D"/>
    <w:rsid w:val="61D05AFF"/>
    <w:rsid w:val="61EB59C5"/>
    <w:rsid w:val="620D455A"/>
    <w:rsid w:val="62142C9F"/>
    <w:rsid w:val="629E28CC"/>
    <w:rsid w:val="62AF50AB"/>
    <w:rsid w:val="62FA38E7"/>
    <w:rsid w:val="630D46EE"/>
    <w:rsid w:val="632558C9"/>
    <w:rsid w:val="632D6DFD"/>
    <w:rsid w:val="634E4E79"/>
    <w:rsid w:val="63671E1A"/>
    <w:rsid w:val="638A5F8B"/>
    <w:rsid w:val="63B543B6"/>
    <w:rsid w:val="63C5158C"/>
    <w:rsid w:val="63CE11C3"/>
    <w:rsid w:val="63F272CF"/>
    <w:rsid w:val="63F47C65"/>
    <w:rsid w:val="64047D3A"/>
    <w:rsid w:val="64115E13"/>
    <w:rsid w:val="6432761A"/>
    <w:rsid w:val="6484635C"/>
    <w:rsid w:val="649D1891"/>
    <w:rsid w:val="64AC724A"/>
    <w:rsid w:val="64BE25DF"/>
    <w:rsid w:val="65245D57"/>
    <w:rsid w:val="652D1EE7"/>
    <w:rsid w:val="653F49C8"/>
    <w:rsid w:val="65715BFD"/>
    <w:rsid w:val="65806115"/>
    <w:rsid w:val="663024A7"/>
    <w:rsid w:val="66492DD1"/>
    <w:rsid w:val="665156C9"/>
    <w:rsid w:val="66610AEB"/>
    <w:rsid w:val="66D35CA6"/>
    <w:rsid w:val="66F00972"/>
    <w:rsid w:val="67080EE0"/>
    <w:rsid w:val="67236F15"/>
    <w:rsid w:val="674C68BC"/>
    <w:rsid w:val="67EB2FEC"/>
    <w:rsid w:val="68456280"/>
    <w:rsid w:val="68750596"/>
    <w:rsid w:val="687D3090"/>
    <w:rsid w:val="68AA6A08"/>
    <w:rsid w:val="68FF02DA"/>
    <w:rsid w:val="69257FEC"/>
    <w:rsid w:val="69322D68"/>
    <w:rsid w:val="69567ACC"/>
    <w:rsid w:val="69A3097C"/>
    <w:rsid w:val="69AB4D72"/>
    <w:rsid w:val="6A5835A3"/>
    <w:rsid w:val="6A74477D"/>
    <w:rsid w:val="6AA80752"/>
    <w:rsid w:val="6AC43E56"/>
    <w:rsid w:val="6AD43737"/>
    <w:rsid w:val="6B607F4C"/>
    <w:rsid w:val="6B6D1872"/>
    <w:rsid w:val="6B6D7178"/>
    <w:rsid w:val="6B711962"/>
    <w:rsid w:val="6B7B0145"/>
    <w:rsid w:val="6BFB5EC7"/>
    <w:rsid w:val="6C017BA8"/>
    <w:rsid w:val="6C1655C7"/>
    <w:rsid w:val="6C526BFE"/>
    <w:rsid w:val="6C6D5BE5"/>
    <w:rsid w:val="6CAF257B"/>
    <w:rsid w:val="6CAF3A30"/>
    <w:rsid w:val="6D1B5090"/>
    <w:rsid w:val="6D5823B9"/>
    <w:rsid w:val="6D627255"/>
    <w:rsid w:val="6D6D0799"/>
    <w:rsid w:val="6D7F36F6"/>
    <w:rsid w:val="6DA07F58"/>
    <w:rsid w:val="6DAD119A"/>
    <w:rsid w:val="6DCC44FD"/>
    <w:rsid w:val="6E2701B0"/>
    <w:rsid w:val="6E8F37CF"/>
    <w:rsid w:val="6EB53AF5"/>
    <w:rsid w:val="6EE13C00"/>
    <w:rsid w:val="6F2C15BE"/>
    <w:rsid w:val="6F305BCC"/>
    <w:rsid w:val="6F837615"/>
    <w:rsid w:val="70285A90"/>
    <w:rsid w:val="70427A3C"/>
    <w:rsid w:val="70461586"/>
    <w:rsid w:val="70A30A45"/>
    <w:rsid w:val="71170C62"/>
    <w:rsid w:val="71722D63"/>
    <w:rsid w:val="71772474"/>
    <w:rsid w:val="718E6980"/>
    <w:rsid w:val="71ED43FC"/>
    <w:rsid w:val="72125D11"/>
    <w:rsid w:val="722525DA"/>
    <w:rsid w:val="723C3F0A"/>
    <w:rsid w:val="726A50AA"/>
    <w:rsid w:val="72A30A82"/>
    <w:rsid w:val="730D48A2"/>
    <w:rsid w:val="732172C0"/>
    <w:rsid w:val="73506F0C"/>
    <w:rsid w:val="73E27A8F"/>
    <w:rsid w:val="73FF595A"/>
    <w:rsid w:val="749D078A"/>
    <w:rsid w:val="74A45099"/>
    <w:rsid w:val="74D3682D"/>
    <w:rsid w:val="74F53420"/>
    <w:rsid w:val="751147BB"/>
    <w:rsid w:val="752E78B5"/>
    <w:rsid w:val="75754150"/>
    <w:rsid w:val="75EF076E"/>
    <w:rsid w:val="763D54ED"/>
    <w:rsid w:val="7659518B"/>
    <w:rsid w:val="767021EE"/>
    <w:rsid w:val="76AA4284"/>
    <w:rsid w:val="76B94ADC"/>
    <w:rsid w:val="771E297B"/>
    <w:rsid w:val="774F2A16"/>
    <w:rsid w:val="77A967D7"/>
    <w:rsid w:val="77BC0253"/>
    <w:rsid w:val="77FBD3B2"/>
    <w:rsid w:val="783A1418"/>
    <w:rsid w:val="788D2787"/>
    <w:rsid w:val="799F483E"/>
    <w:rsid w:val="79BF3A8B"/>
    <w:rsid w:val="79DE2FD8"/>
    <w:rsid w:val="79E910C1"/>
    <w:rsid w:val="79EA3CA2"/>
    <w:rsid w:val="79F74471"/>
    <w:rsid w:val="7A1A02A9"/>
    <w:rsid w:val="7B0E6DC0"/>
    <w:rsid w:val="7B275452"/>
    <w:rsid w:val="7B8D04DC"/>
    <w:rsid w:val="7BBB1BF1"/>
    <w:rsid w:val="7BCF13C9"/>
    <w:rsid w:val="7C480B0A"/>
    <w:rsid w:val="7C703316"/>
    <w:rsid w:val="7C7104FF"/>
    <w:rsid w:val="7CC12A90"/>
    <w:rsid w:val="7D0630FE"/>
    <w:rsid w:val="7D2B37AE"/>
    <w:rsid w:val="7D3A3977"/>
    <w:rsid w:val="7D3D02D2"/>
    <w:rsid w:val="7D52346D"/>
    <w:rsid w:val="7D7112AE"/>
    <w:rsid w:val="7DD9649C"/>
    <w:rsid w:val="7DDA043C"/>
    <w:rsid w:val="7DEFB249"/>
    <w:rsid w:val="7DF328DB"/>
    <w:rsid w:val="7DFA132A"/>
    <w:rsid w:val="7E1F444D"/>
    <w:rsid w:val="7E4326D6"/>
    <w:rsid w:val="7E5612F3"/>
    <w:rsid w:val="7E7E0711"/>
    <w:rsid w:val="7ED63924"/>
    <w:rsid w:val="7EF72FD8"/>
    <w:rsid w:val="7EF82B67"/>
    <w:rsid w:val="7F28681A"/>
    <w:rsid w:val="7F5F3877"/>
    <w:rsid w:val="7F6308B0"/>
    <w:rsid w:val="7F6D00C5"/>
    <w:rsid w:val="7FE97DAA"/>
    <w:rsid w:val="9EB8619F"/>
    <w:rsid w:val="B7791D66"/>
    <w:rsid w:val="F5FB146A"/>
    <w:rsid w:val="F9BB6C72"/>
    <w:rsid w:val="FE79AB49"/>
    <w:rsid w:val="FF7F7378"/>
    <w:rsid w:val="FFEF8C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47"/>
    <w:unhideWhenUsed/>
    <w:qFormat/>
    <w:locked/>
    <w:uiPriority w:val="0"/>
    <w:pPr>
      <w:keepNext/>
      <w:keepLines/>
      <w:adjustRightInd w:val="0"/>
      <w:snapToGrid w:val="0"/>
      <w:spacing w:line="360" w:lineRule="auto"/>
      <w:outlineLvl w:val="1"/>
    </w:pPr>
    <w:rPr>
      <w:rFonts w:ascii="黑体" w:hAnsi="黑体" w:eastAsia="黑体" w:cstheme="majorBidi"/>
      <w:bCs/>
      <w:szCs w:val="32"/>
    </w:rPr>
  </w:style>
  <w:style w:type="paragraph" w:styleId="4">
    <w:name w:val="heading 3"/>
    <w:basedOn w:val="1"/>
    <w:next w:val="1"/>
    <w:link w:val="48"/>
    <w:unhideWhenUsed/>
    <w:qFormat/>
    <w:locked/>
    <w:uiPriority w:val="0"/>
    <w:pPr>
      <w:keepNext/>
      <w:keepLines/>
      <w:adjustRightInd w:val="0"/>
      <w:snapToGrid w:val="0"/>
      <w:spacing w:line="360" w:lineRule="auto"/>
      <w:outlineLvl w:val="2"/>
    </w:pPr>
    <w:rPr>
      <w:rFonts w:ascii="黑体" w:hAnsi="黑体" w:eastAsia="黑体"/>
      <w:bCs/>
      <w:snapToGrid w:val="0"/>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2"/>
    <w:qFormat/>
    <w:uiPriority w:val="99"/>
    <w:pPr>
      <w:jc w:val="left"/>
    </w:pPr>
  </w:style>
  <w:style w:type="paragraph" w:styleId="6">
    <w:name w:val="Body Text Indent"/>
    <w:basedOn w:val="1"/>
    <w:qFormat/>
    <w:uiPriority w:val="0"/>
    <w:pPr>
      <w:spacing w:line="260" w:lineRule="exact"/>
      <w:ind w:firstLine="420"/>
    </w:pPr>
    <w:rPr>
      <w:color w:val="000000"/>
      <w:szCs w:val="21"/>
    </w:rPr>
  </w:style>
  <w:style w:type="paragraph" w:styleId="7">
    <w:name w:val="Date"/>
    <w:basedOn w:val="1"/>
    <w:next w:val="1"/>
    <w:link w:val="23"/>
    <w:qFormat/>
    <w:uiPriority w:val="99"/>
    <w:pPr>
      <w:ind w:left="100" w:leftChars="2500"/>
    </w:pPr>
  </w:style>
  <w:style w:type="paragraph" w:styleId="8">
    <w:name w:val="Body Text Indent 2"/>
    <w:basedOn w:val="1"/>
    <w:link w:val="24"/>
    <w:qFormat/>
    <w:uiPriority w:val="99"/>
    <w:pPr>
      <w:spacing w:line="288" w:lineRule="auto"/>
      <w:ind w:firstLine="435"/>
    </w:pPr>
    <w:rPr>
      <w:rFonts w:ascii="Times New Roman" w:hAnsi="Times New Roman"/>
      <w:szCs w:val="21"/>
    </w:rPr>
  </w:style>
  <w:style w:type="paragraph" w:styleId="9">
    <w:name w:val="Balloon Text"/>
    <w:basedOn w:val="1"/>
    <w:link w:val="25"/>
    <w:qFormat/>
    <w:uiPriority w:val="99"/>
    <w:rPr>
      <w:sz w:val="18"/>
      <w:szCs w:val="18"/>
    </w:rPr>
  </w:style>
  <w:style w:type="paragraph" w:styleId="10">
    <w:name w:val="footer"/>
    <w:basedOn w:val="1"/>
    <w:link w:val="26"/>
    <w:qFormat/>
    <w:uiPriority w:val="99"/>
    <w:pPr>
      <w:tabs>
        <w:tab w:val="center" w:pos="4153"/>
        <w:tab w:val="right" w:pos="8306"/>
      </w:tabs>
      <w:snapToGrid w:val="0"/>
      <w:jc w:val="left"/>
    </w:pPr>
    <w:rPr>
      <w:sz w:val="18"/>
      <w:szCs w:val="18"/>
    </w:rPr>
  </w:style>
  <w:style w:type="paragraph" w:styleId="11">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Title"/>
    <w:basedOn w:val="1"/>
    <w:next w:val="1"/>
    <w:link w:val="46"/>
    <w:qFormat/>
    <w:locked/>
    <w:uiPriority w:val="0"/>
    <w:pPr>
      <w:adjustRightInd w:val="0"/>
      <w:snapToGrid w:val="0"/>
      <w:spacing w:line="360" w:lineRule="auto"/>
      <w:jc w:val="left"/>
      <w:outlineLvl w:val="0"/>
    </w:pPr>
    <w:rPr>
      <w:rFonts w:ascii="黑体" w:hAnsi="黑体" w:eastAsia="黑体" w:cstheme="majorBidi"/>
      <w:bCs/>
      <w:szCs w:val="32"/>
    </w:rPr>
  </w:style>
  <w:style w:type="paragraph" w:styleId="14">
    <w:name w:val="annotation subject"/>
    <w:basedOn w:val="5"/>
    <w:next w:val="5"/>
    <w:link w:val="28"/>
    <w:qFormat/>
    <w:uiPriority w:val="99"/>
    <w:rPr>
      <w:b/>
      <w:bCs/>
    </w:rPr>
  </w:style>
  <w:style w:type="table" w:styleId="16">
    <w:name w:val="Table Grid"/>
    <w:basedOn w:val="1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rFonts w:cs="Times New Roman"/>
      <w:b/>
      <w:bCs/>
    </w:rPr>
  </w:style>
  <w:style w:type="character" w:styleId="19">
    <w:name w:val="Hyperlink"/>
    <w:basedOn w:val="17"/>
    <w:qFormat/>
    <w:uiPriority w:val="99"/>
    <w:rPr>
      <w:rFonts w:cs="Times New Roman"/>
      <w:color w:val="0000FF"/>
      <w:u w:val="single"/>
    </w:rPr>
  </w:style>
  <w:style w:type="character" w:styleId="20">
    <w:name w:val="annotation reference"/>
    <w:basedOn w:val="17"/>
    <w:qFormat/>
    <w:uiPriority w:val="99"/>
    <w:rPr>
      <w:rFonts w:cs="Times New Roman"/>
      <w:sz w:val="21"/>
      <w:szCs w:val="21"/>
    </w:rPr>
  </w:style>
  <w:style w:type="character" w:customStyle="1" w:styleId="21">
    <w:name w:val="标题 1 Char"/>
    <w:basedOn w:val="17"/>
    <w:link w:val="2"/>
    <w:qFormat/>
    <w:uiPriority w:val="9"/>
    <w:rPr>
      <w:rFonts w:ascii="Calibri" w:hAnsi="Calibri"/>
      <w:b/>
      <w:bCs/>
      <w:kern w:val="44"/>
      <w:sz w:val="44"/>
      <w:szCs w:val="44"/>
    </w:rPr>
  </w:style>
  <w:style w:type="character" w:customStyle="1" w:styleId="22">
    <w:name w:val="批注文字 Char"/>
    <w:basedOn w:val="17"/>
    <w:link w:val="5"/>
    <w:semiHidden/>
    <w:qFormat/>
    <w:locked/>
    <w:uiPriority w:val="99"/>
    <w:rPr>
      <w:rFonts w:cs="Times New Roman"/>
    </w:rPr>
  </w:style>
  <w:style w:type="character" w:customStyle="1" w:styleId="23">
    <w:name w:val="日期 Char"/>
    <w:basedOn w:val="17"/>
    <w:link w:val="7"/>
    <w:semiHidden/>
    <w:qFormat/>
    <w:locked/>
    <w:uiPriority w:val="99"/>
    <w:rPr>
      <w:rFonts w:cs="Times New Roman"/>
    </w:rPr>
  </w:style>
  <w:style w:type="character" w:customStyle="1" w:styleId="24">
    <w:name w:val="正文文本缩进 2 Char"/>
    <w:basedOn w:val="17"/>
    <w:link w:val="8"/>
    <w:qFormat/>
    <w:locked/>
    <w:uiPriority w:val="99"/>
    <w:rPr>
      <w:rFonts w:ascii="Times New Roman" w:hAnsi="Times New Roman" w:eastAsia="宋体" w:cs="Times New Roman"/>
      <w:sz w:val="21"/>
      <w:szCs w:val="21"/>
    </w:rPr>
  </w:style>
  <w:style w:type="character" w:customStyle="1" w:styleId="25">
    <w:name w:val="批注框文本 Char"/>
    <w:basedOn w:val="17"/>
    <w:link w:val="9"/>
    <w:semiHidden/>
    <w:qFormat/>
    <w:locked/>
    <w:uiPriority w:val="99"/>
    <w:rPr>
      <w:rFonts w:cs="Times New Roman"/>
      <w:sz w:val="18"/>
      <w:szCs w:val="18"/>
    </w:rPr>
  </w:style>
  <w:style w:type="character" w:customStyle="1" w:styleId="26">
    <w:name w:val="页脚 Char"/>
    <w:basedOn w:val="17"/>
    <w:link w:val="10"/>
    <w:qFormat/>
    <w:locked/>
    <w:uiPriority w:val="99"/>
    <w:rPr>
      <w:rFonts w:cs="Times New Roman"/>
      <w:sz w:val="18"/>
      <w:szCs w:val="18"/>
    </w:rPr>
  </w:style>
  <w:style w:type="character" w:customStyle="1" w:styleId="27">
    <w:name w:val="页眉 Char"/>
    <w:basedOn w:val="17"/>
    <w:link w:val="11"/>
    <w:qFormat/>
    <w:locked/>
    <w:uiPriority w:val="99"/>
    <w:rPr>
      <w:rFonts w:cs="Times New Roman"/>
      <w:sz w:val="18"/>
      <w:szCs w:val="18"/>
    </w:rPr>
  </w:style>
  <w:style w:type="character" w:customStyle="1" w:styleId="28">
    <w:name w:val="批注主题 Char"/>
    <w:basedOn w:val="22"/>
    <w:link w:val="14"/>
    <w:semiHidden/>
    <w:qFormat/>
    <w:locked/>
    <w:uiPriority w:val="99"/>
    <w:rPr>
      <w:rFonts w:cs="Times New Roman"/>
      <w:b/>
      <w:bCs/>
    </w:rPr>
  </w:style>
  <w:style w:type="paragraph" w:customStyle="1" w:styleId="29">
    <w:name w:val="列出段落1"/>
    <w:basedOn w:val="1"/>
    <w:qFormat/>
    <w:uiPriority w:val="0"/>
    <w:pPr>
      <w:ind w:firstLine="420" w:firstLineChars="200"/>
    </w:pPr>
    <w:rPr>
      <w:rFonts w:ascii="Times New Roman" w:hAnsi="Times New Roman"/>
      <w:szCs w:val="21"/>
    </w:rPr>
  </w:style>
  <w:style w:type="paragraph" w:customStyle="1" w:styleId="30">
    <w:name w:val="列出段落2"/>
    <w:basedOn w:val="1"/>
    <w:qFormat/>
    <w:uiPriority w:val="99"/>
    <w:pPr>
      <w:ind w:firstLine="420" w:firstLineChars="200"/>
    </w:pPr>
  </w:style>
  <w:style w:type="paragraph" w:customStyle="1" w:styleId="31">
    <w:name w:val="附录标识"/>
    <w:basedOn w:val="1"/>
    <w:next w:val="1"/>
    <w:qFormat/>
    <w:uiPriority w:val="99"/>
    <w:pPr>
      <w:keepNext/>
      <w:widowControl/>
      <w:shd w:val="clear" w:color="FFFFFF" w:fill="FFFFFF"/>
      <w:tabs>
        <w:tab w:val="left" w:pos="360"/>
        <w:tab w:val="left" w:pos="6405"/>
      </w:tabs>
      <w:spacing w:before="640" w:after="280"/>
      <w:jc w:val="center"/>
      <w:outlineLvl w:val="0"/>
    </w:pPr>
    <w:rPr>
      <w:rFonts w:ascii="黑体" w:hAnsi="Times New Roman" w:eastAsia="黑体"/>
      <w:kern w:val="0"/>
      <w:szCs w:val="20"/>
    </w:rPr>
  </w:style>
  <w:style w:type="character" w:customStyle="1" w:styleId="32">
    <w:name w:val="正文文本 (9)_"/>
    <w:basedOn w:val="17"/>
    <w:qFormat/>
    <w:uiPriority w:val="99"/>
    <w:rPr>
      <w:rFonts w:ascii="MingLiU" w:hAnsi="MingLiU" w:eastAsia="MingLiU" w:cs="MingLiU"/>
      <w:sz w:val="21"/>
      <w:szCs w:val="21"/>
      <w:u w:val="none"/>
    </w:rPr>
  </w:style>
  <w:style w:type="character" w:customStyle="1" w:styleId="33">
    <w:name w:val="正文文本 (9)"/>
    <w:basedOn w:val="32"/>
    <w:qFormat/>
    <w:uiPriority w:val="99"/>
    <w:rPr>
      <w:rFonts w:ascii="MingLiU" w:hAnsi="MingLiU" w:eastAsia="MingLiU" w:cs="MingLiU"/>
      <w:color w:val="000000"/>
      <w:spacing w:val="0"/>
      <w:w w:val="100"/>
      <w:position w:val="0"/>
      <w:sz w:val="21"/>
      <w:szCs w:val="21"/>
      <w:u w:val="none"/>
      <w:lang w:val="en-US"/>
    </w:rPr>
  </w:style>
  <w:style w:type="character" w:customStyle="1" w:styleId="34">
    <w:name w:val="正文文本_"/>
    <w:basedOn w:val="17"/>
    <w:link w:val="35"/>
    <w:qFormat/>
    <w:locked/>
    <w:uiPriority w:val="99"/>
    <w:rPr>
      <w:rFonts w:ascii="MingLiU" w:hAnsi="MingLiU" w:eastAsia="MingLiU" w:cs="MingLiU"/>
      <w:sz w:val="20"/>
      <w:szCs w:val="20"/>
      <w:shd w:val="clear" w:color="auto" w:fill="FFFFFF"/>
    </w:rPr>
  </w:style>
  <w:style w:type="paragraph" w:customStyle="1" w:styleId="35">
    <w:name w:val="正文文本2"/>
    <w:basedOn w:val="1"/>
    <w:link w:val="34"/>
    <w:qFormat/>
    <w:uiPriority w:val="99"/>
    <w:pPr>
      <w:shd w:val="clear" w:color="auto" w:fill="FFFFFF"/>
      <w:spacing w:before="720" w:line="312" w:lineRule="exact"/>
      <w:jc w:val="distribute"/>
    </w:pPr>
    <w:rPr>
      <w:rFonts w:ascii="MingLiU" w:hAnsi="MingLiU" w:eastAsia="MingLiU" w:cs="MingLiU"/>
      <w:sz w:val="20"/>
      <w:szCs w:val="20"/>
    </w:rPr>
  </w:style>
  <w:style w:type="character" w:customStyle="1" w:styleId="36">
    <w:name w:val="正文文本 + 8.5 pt"/>
    <w:basedOn w:val="34"/>
    <w:qFormat/>
    <w:uiPriority w:val="99"/>
    <w:rPr>
      <w:rFonts w:ascii="MingLiU" w:hAnsi="MingLiU" w:eastAsia="MingLiU" w:cs="MingLiU"/>
      <w:color w:val="000000"/>
      <w:spacing w:val="0"/>
      <w:w w:val="100"/>
      <w:position w:val="0"/>
      <w:sz w:val="17"/>
      <w:szCs w:val="17"/>
      <w:shd w:val="clear" w:color="auto" w:fill="FFFFFF"/>
      <w:lang w:val="zh-TW"/>
    </w:rPr>
  </w:style>
  <w:style w:type="paragraph" w:styleId="37">
    <w:name w:val="List Paragraph"/>
    <w:basedOn w:val="1"/>
    <w:qFormat/>
    <w:uiPriority w:val="99"/>
    <w:pPr>
      <w:ind w:firstLine="420" w:firstLineChars="200"/>
    </w:pPr>
  </w:style>
  <w:style w:type="paragraph" w:customStyle="1" w:styleId="38">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9">
    <w:name w:val="一级条标题"/>
    <w:next w:val="38"/>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40">
    <w:name w:val="章标题"/>
    <w:next w:val="38"/>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41">
    <w:name w:val="一级无"/>
    <w:basedOn w:val="39"/>
    <w:qFormat/>
    <w:uiPriority w:val="99"/>
    <w:pPr>
      <w:spacing w:beforeLines="0" w:afterLines="0"/>
    </w:pPr>
    <w:rPr>
      <w:rFonts w:ascii="宋体" w:eastAsia="宋体"/>
    </w:rPr>
  </w:style>
  <w:style w:type="paragraph" w:customStyle="1" w:styleId="42">
    <w:name w:val="二级无"/>
    <w:basedOn w:val="43"/>
    <w:qFormat/>
    <w:uiPriority w:val="99"/>
    <w:pPr>
      <w:spacing w:beforeLines="0" w:afterLines="0"/>
    </w:pPr>
    <w:rPr>
      <w:rFonts w:ascii="宋体" w:eastAsia="宋体"/>
    </w:rPr>
  </w:style>
  <w:style w:type="paragraph" w:customStyle="1" w:styleId="43">
    <w:name w:val="二级条标题"/>
    <w:basedOn w:val="39"/>
    <w:next w:val="38"/>
    <w:qFormat/>
    <w:uiPriority w:val="99"/>
    <w:pPr>
      <w:numPr>
        <w:ilvl w:val="2"/>
      </w:numPr>
      <w:spacing w:before="50" w:after="50"/>
      <w:outlineLvl w:val="3"/>
    </w:pPr>
  </w:style>
  <w:style w:type="character" w:customStyle="1" w:styleId="44">
    <w:name w:val="font91"/>
    <w:basedOn w:val="17"/>
    <w:qFormat/>
    <w:uiPriority w:val="0"/>
    <w:rPr>
      <w:rFonts w:hint="eastAsia" w:ascii="宋体" w:hAnsi="宋体" w:eastAsia="宋体" w:cs="宋体"/>
      <w:color w:val="000000"/>
      <w:sz w:val="20"/>
      <w:szCs w:val="20"/>
      <w:u w:val="none"/>
    </w:rPr>
  </w:style>
  <w:style w:type="paragraph" w:customStyle="1" w:styleId="45">
    <w:name w:val="标准书脚_奇数页"/>
    <w:qFormat/>
    <w:uiPriority w:val="99"/>
    <w:pPr>
      <w:spacing w:before="120"/>
      <w:ind w:right="198"/>
      <w:jc w:val="right"/>
    </w:pPr>
    <w:rPr>
      <w:rFonts w:ascii="宋体" w:hAnsi="Times New Roman" w:eastAsia="宋体" w:cs="宋体"/>
      <w:sz w:val="18"/>
      <w:szCs w:val="18"/>
      <w:lang w:val="en-US" w:eastAsia="zh-CN" w:bidi="ar-SA"/>
    </w:rPr>
  </w:style>
  <w:style w:type="character" w:customStyle="1" w:styleId="46">
    <w:name w:val="标题 Char"/>
    <w:basedOn w:val="17"/>
    <w:link w:val="13"/>
    <w:qFormat/>
    <w:uiPriority w:val="0"/>
    <w:rPr>
      <w:rFonts w:ascii="黑体" w:hAnsi="黑体" w:eastAsia="黑体" w:cstheme="majorBidi"/>
      <w:bCs/>
      <w:kern w:val="2"/>
      <w:sz w:val="21"/>
      <w:szCs w:val="32"/>
    </w:rPr>
  </w:style>
  <w:style w:type="character" w:customStyle="1" w:styleId="47">
    <w:name w:val="标题 2 Char"/>
    <w:basedOn w:val="17"/>
    <w:link w:val="3"/>
    <w:qFormat/>
    <w:uiPriority w:val="0"/>
    <w:rPr>
      <w:rFonts w:ascii="黑体" w:hAnsi="黑体" w:eastAsia="黑体" w:cstheme="majorBidi"/>
      <w:bCs/>
      <w:kern w:val="2"/>
      <w:sz w:val="21"/>
      <w:szCs w:val="32"/>
    </w:rPr>
  </w:style>
  <w:style w:type="character" w:customStyle="1" w:styleId="48">
    <w:name w:val="标题 3 Char"/>
    <w:basedOn w:val="17"/>
    <w:link w:val="4"/>
    <w:qFormat/>
    <w:uiPriority w:val="0"/>
    <w:rPr>
      <w:rFonts w:ascii="黑体" w:hAnsi="黑体" w:eastAsia="黑体"/>
      <w:bCs/>
      <w:snapToGrid w:val="0"/>
      <w:kern w:val="2"/>
      <w:sz w:val="21"/>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3403</Words>
  <Characters>3924</Characters>
  <Lines>30</Lines>
  <Paragraphs>8</Paragraphs>
  <TotalTime>84</TotalTime>
  <ScaleCrop>false</ScaleCrop>
  <LinksUpToDate>false</LinksUpToDate>
  <CharactersWithSpaces>4078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2021-09-03T16:08:00Z</dcterms:created>
  <dc:creator>dell</dc:creator>
  <cp:lastModifiedBy>马雪</cp:lastModifiedBy>
  <cp:lastPrinted>2025-02-11T08:55:00Z</cp:lastPrinted>
  <dcterms:modified xsi:type="dcterms:W3CDTF">2025-04-03T08:53:45Z</dcterms:modified>
  <dc:title>绿色食品生产操作规程</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16FB4DF6F9C34FB8922D37E9C7BF41E5_13</vt:lpwstr>
  </property>
  <property fmtid="{D5CDD505-2E9C-101B-9397-08002B2CF9AE}" pid="4" name="KSOTemplateDocerSaveRecord">
    <vt:lpwstr>eyJoZGlkIjoiYzIyYzJkNzEzMjQwZjVlZDkxNjFjOTcxNmM5ZTUzYzAiLCJ1c2VySWQiOiI3MDQ5NzI3MjUifQ==</vt:lpwstr>
  </property>
</Properties>
</file>