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85" w:rsidRDefault="00641D85">
      <w:pPr>
        <w:pStyle w:val="HTML"/>
        <w:widowControl/>
        <w:rPr>
          <w:szCs w:val="21"/>
        </w:rPr>
      </w:pPr>
    </w:p>
    <w:p w:rsidR="00641D85" w:rsidRPr="00406400" w:rsidRDefault="00311199">
      <w:pPr>
        <w:pStyle w:val="HTML"/>
        <w:widowControl/>
        <w:jc w:val="center"/>
        <w:rPr>
          <w:bCs/>
          <w:sz w:val="52"/>
          <w:szCs w:val="52"/>
        </w:rPr>
      </w:pPr>
      <w:r w:rsidRPr="00406400">
        <w:rPr>
          <w:rFonts w:ascii="黑体" w:eastAsia="黑体" w:cs="黑体"/>
          <w:bCs/>
          <w:sz w:val="48"/>
          <w:szCs w:val="48"/>
        </w:rPr>
        <w:t>绿 色 食 品 生 产 操 作 规 程</w:t>
      </w:r>
    </w:p>
    <w:p w:rsidR="00641D85" w:rsidRDefault="0062508A" w:rsidP="00CB3EE4">
      <w:pPr>
        <w:pStyle w:val="11"/>
        <w:spacing w:beforeLines="50" w:afterLines="50" w:line="400" w:lineRule="atLeast"/>
        <w:ind w:left="357" w:firstLineChars="0" w:firstLine="0"/>
        <w:jc w:val="center"/>
        <w:rPr>
          <w:rFonts w:ascii="宋体" w:cs="宋体"/>
          <w:sz w:val="32"/>
          <w:szCs w:val="32"/>
        </w:rPr>
      </w:pPr>
      <w:r w:rsidRPr="0062508A">
        <w:rPr>
          <w:noProof/>
          <w:sz w:val="32"/>
          <w:szCs w:val="24"/>
        </w:rPr>
        <w:pict>
          <v:line id="直线 1" o:spid="_x0000_s1026" style="position:absolute;left:0;text-align:left;z-index:17;visibility:visible;mso-wrap-distance-left:3.17494mm;mso-wrap-distance-right:3.17494mm" from="-2.65pt,36.4pt" to="425.2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" strokeweight=".5pt">
            <v:stroke joinstyle="miter"/>
            <o:lock v:ext="edit" shapetype="f"/>
          </v:line>
        </w:pict>
      </w:r>
      <w:r w:rsidR="00311199">
        <w:rPr>
          <w:rFonts w:ascii="宋体" w:cs="宋体" w:hint="eastAsia"/>
          <w:sz w:val="32"/>
          <w:szCs w:val="32"/>
        </w:rPr>
        <w:t xml:space="preserve">                            </w:t>
      </w:r>
      <w:r w:rsidR="00311199">
        <w:rPr>
          <w:rFonts w:ascii="黑体" w:eastAsia="黑体" w:cs="宋体" w:hint="eastAsia"/>
          <w:sz w:val="28"/>
          <w:szCs w:val="28"/>
        </w:rPr>
        <w:t xml:space="preserve">LB/T </w:t>
      </w:r>
      <w:r w:rsidR="00CB3EE4">
        <w:rPr>
          <w:rFonts w:ascii="黑体" w:eastAsia="黑体" w:cs="宋体" w:hint="eastAsia"/>
          <w:sz w:val="28"/>
          <w:szCs w:val="28"/>
        </w:rPr>
        <w:t>192</w:t>
      </w:r>
      <w:r w:rsidR="00311199">
        <w:rPr>
          <w:rFonts w:ascii="黑体" w:eastAsia="黑体" w:cs="宋体" w:hint="eastAsia"/>
          <w:sz w:val="28"/>
          <w:szCs w:val="28"/>
        </w:rPr>
        <w:t>-20</w:t>
      </w:r>
      <w:r w:rsidR="00CB3EE4">
        <w:rPr>
          <w:rFonts w:ascii="黑体" w:eastAsia="黑体" w:cs="宋体" w:hint="eastAsia"/>
          <w:sz w:val="28"/>
          <w:szCs w:val="28"/>
        </w:rPr>
        <w:t>21</w:t>
      </w: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jc w:val="center"/>
        <w:rPr>
          <w:b/>
          <w:sz w:val="44"/>
          <w:szCs w:val="44"/>
        </w:rPr>
      </w:pPr>
    </w:p>
    <w:p w:rsidR="00641D85" w:rsidRDefault="00641D85">
      <w:pPr>
        <w:pStyle w:val="HTML"/>
        <w:widowControl/>
        <w:jc w:val="center"/>
        <w:rPr>
          <w:b/>
          <w:sz w:val="44"/>
          <w:szCs w:val="44"/>
        </w:rPr>
      </w:pPr>
    </w:p>
    <w:p w:rsidR="00641D85" w:rsidRDefault="00641D85">
      <w:pPr>
        <w:pStyle w:val="HTML"/>
        <w:widowControl/>
        <w:jc w:val="center"/>
        <w:rPr>
          <w:b/>
          <w:sz w:val="44"/>
          <w:szCs w:val="44"/>
        </w:rPr>
      </w:pPr>
    </w:p>
    <w:p w:rsidR="00641D85" w:rsidRDefault="00311199">
      <w:pPr>
        <w:pStyle w:val="HTML"/>
        <w:widowControl/>
        <w:jc w:val="center"/>
        <w:rPr>
          <w:rFonts w:ascii="黑体" w:eastAsia="黑体" w:cs="黑体"/>
          <w:bCs/>
          <w:sz w:val="48"/>
          <w:szCs w:val="48"/>
        </w:rPr>
      </w:pPr>
      <w:r>
        <w:rPr>
          <w:rFonts w:ascii="黑体" w:eastAsia="黑体" w:cs="黑体"/>
          <w:bCs/>
          <w:sz w:val="48"/>
          <w:szCs w:val="48"/>
        </w:rPr>
        <w:t>华南</w:t>
      </w:r>
      <w:r>
        <w:rPr>
          <w:rFonts w:ascii="黑体" w:eastAsia="黑体" w:cs="黑体" w:hint="eastAsia"/>
          <w:bCs/>
          <w:sz w:val="48"/>
          <w:szCs w:val="48"/>
        </w:rPr>
        <w:t>西南</w:t>
      </w:r>
      <w:r>
        <w:rPr>
          <w:rFonts w:ascii="黑体" w:eastAsia="黑体" w:cs="黑体"/>
          <w:bCs/>
          <w:sz w:val="48"/>
          <w:szCs w:val="48"/>
        </w:rPr>
        <w:t>地区</w:t>
      </w:r>
    </w:p>
    <w:p w:rsidR="00641D85" w:rsidRDefault="00641D85">
      <w:pPr>
        <w:pStyle w:val="HTML"/>
        <w:widowControl/>
        <w:jc w:val="center"/>
        <w:rPr>
          <w:rFonts w:ascii="黑体" w:eastAsia="黑体" w:cs="黑体"/>
          <w:bCs/>
          <w:sz w:val="48"/>
          <w:szCs w:val="48"/>
        </w:rPr>
      </w:pPr>
    </w:p>
    <w:p w:rsidR="00641D85" w:rsidRDefault="00311199">
      <w:pPr>
        <w:pStyle w:val="HTML"/>
        <w:widowControl/>
        <w:jc w:val="center"/>
        <w:rPr>
          <w:rFonts w:ascii="黑体" w:eastAsia="黑体" w:cs="黑体"/>
          <w:bCs/>
          <w:sz w:val="48"/>
          <w:szCs w:val="48"/>
        </w:rPr>
      </w:pPr>
      <w:r>
        <w:rPr>
          <w:rFonts w:ascii="黑体" w:eastAsia="黑体" w:cs="黑体"/>
          <w:bCs/>
          <w:sz w:val="48"/>
          <w:szCs w:val="48"/>
        </w:rPr>
        <w:t xml:space="preserve">绿色食品  </w:t>
      </w:r>
      <w:r>
        <w:rPr>
          <w:rFonts w:ascii="黑体" w:eastAsia="黑体" w:cs="黑体" w:hint="eastAsia"/>
          <w:bCs/>
          <w:sz w:val="48"/>
          <w:szCs w:val="48"/>
        </w:rPr>
        <w:t>露地</w:t>
      </w:r>
      <w:r>
        <w:rPr>
          <w:rFonts w:ascii="黑体" w:eastAsia="黑体" w:cs="黑体" w:hint="eastAsia"/>
          <w:sz w:val="48"/>
          <w:szCs w:val="48"/>
        </w:rPr>
        <w:t>胡萝卜</w:t>
      </w:r>
      <w:r>
        <w:rPr>
          <w:rFonts w:ascii="黑体" w:eastAsia="黑体" w:cs="黑体"/>
          <w:bCs/>
          <w:sz w:val="48"/>
          <w:szCs w:val="48"/>
        </w:rPr>
        <w:t>生产操作规程</w:t>
      </w: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641D85">
      <w:pPr>
        <w:pStyle w:val="HTML"/>
        <w:widowControl/>
        <w:rPr>
          <w:sz w:val="32"/>
          <w:szCs w:val="32"/>
        </w:rPr>
      </w:pPr>
    </w:p>
    <w:p w:rsidR="00641D85" w:rsidRDefault="00CB3EE4" w:rsidP="00CB3EE4">
      <w:pPr>
        <w:pStyle w:val="11"/>
        <w:spacing w:beforeLines="50" w:afterLines="50" w:line="400" w:lineRule="atLeast"/>
        <w:ind w:firstLineChars="0" w:firstLine="0"/>
        <w:contextualSpacing/>
        <w:jc w:val="left"/>
        <w:rPr>
          <w:rFonts w:ascii="黑体" w:eastAsia="黑体" w:cs="宋体"/>
          <w:sz w:val="28"/>
          <w:szCs w:val="28"/>
        </w:rPr>
      </w:pPr>
      <w:r>
        <w:rPr>
          <w:rFonts w:ascii="黑体" w:eastAsia="黑体" w:cs="宋体" w:hint="eastAsia"/>
          <w:sz w:val="28"/>
          <w:szCs w:val="28"/>
        </w:rPr>
        <w:t>2021-09-26</w:t>
      </w:r>
      <w:r w:rsidR="00311199">
        <w:rPr>
          <w:rFonts w:ascii="黑体" w:eastAsia="黑体" w:cs="宋体" w:hint="eastAsia"/>
          <w:sz w:val="28"/>
          <w:szCs w:val="28"/>
        </w:rPr>
        <w:t xml:space="preserve">发布              </w:t>
      </w:r>
      <w:r w:rsidR="00311199">
        <w:rPr>
          <w:rFonts w:ascii="黑体" w:eastAsia="黑体" w:cs="宋体"/>
          <w:sz w:val="28"/>
          <w:szCs w:val="28"/>
        </w:rPr>
        <w:t xml:space="preserve">　</w:t>
      </w:r>
      <w:r>
        <w:rPr>
          <w:rFonts w:ascii="黑体" w:eastAsia="黑体" w:cs="宋体" w:hint="eastAsia"/>
          <w:sz w:val="28"/>
          <w:szCs w:val="28"/>
        </w:rPr>
        <w:t xml:space="preserve">      </w:t>
      </w:r>
      <w:r w:rsidR="00311199">
        <w:rPr>
          <w:rFonts w:ascii="黑体" w:eastAsia="黑体" w:cs="宋体"/>
          <w:sz w:val="28"/>
          <w:szCs w:val="28"/>
        </w:rPr>
        <w:t xml:space="preserve">　</w:t>
      </w:r>
      <w:r>
        <w:rPr>
          <w:rFonts w:ascii="黑体" w:eastAsia="黑体" w:cs="宋体" w:hint="eastAsia"/>
          <w:sz w:val="28"/>
          <w:szCs w:val="28"/>
        </w:rPr>
        <w:t>2021-10-01</w:t>
      </w:r>
      <w:r w:rsidR="00311199">
        <w:rPr>
          <w:rFonts w:ascii="黑体" w:eastAsia="黑体" w:cs="宋体" w:hint="eastAsia"/>
          <w:sz w:val="28"/>
          <w:szCs w:val="28"/>
        </w:rPr>
        <w:t>实施</w:t>
      </w:r>
    </w:p>
    <w:p w:rsidR="00641D85" w:rsidRDefault="0062508A" w:rsidP="00CB3EE4">
      <w:pPr>
        <w:pStyle w:val="11"/>
        <w:spacing w:beforeLines="50" w:afterLines="50" w:line="400" w:lineRule="atLeast"/>
        <w:ind w:left="357" w:firstLineChars="0" w:firstLine="0"/>
        <w:jc w:val="left"/>
        <w:rPr>
          <w:rFonts w:ascii="宋体" w:cs="宋体"/>
          <w:sz w:val="32"/>
          <w:szCs w:val="32"/>
        </w:rPr>
      </w:pPr>
      <w:r w:rsidRPr="0062508A">
        <w:rPr>
          <w:noProof/>
          <w:sz w:val="32"/>
          <w:szCs w:val="32"/>
        </w:rPr>
        <w:pict>
          <v:line id="直线 3" o:spid="_x0000_s1027" style="position:absolute;left:0;text-align:left;z-index:18;visibility:visible;mso-wrap-distance-left:3.17494mm;mso-wrap-distance-right:3.17494mm" from="-25.9pt,15.25pt" to="426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" strokeweight=".5pt">
            <v:stroke joinstyle="miter"/>
            <o:lock v:ext="edit" shapetype="f"/>
          </v:line>
        </w:pict>
      </w:r>
    </w:p>
    <w:p w:rsidR="002946C4" w:rsidRDefault="00311199" w:rsidP="00CB3EE4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cs="宋体"/>
          <w:sz w:val="28"/>
          <w:szCs w:val="28"/>
        </w:rPr>
      </w:pPr>
      <w:r>
        <w:rPr>
          <w:rFonts w:ascii="华文中宋" w:eastAsia="华文中宋" w:cs="宋体" w:hint="eastAsia"/>
          <w:kern w:val="0"/>
          <w:sz w:val="32"/>
          <w:szCs w:val="32"/>
        </w:rPr>
        <w:t xml:space="preserve">中国绿色食品发展中心  </w:t>
      </w:r>
      <w:r>
        <w:rPr>
          <w:rFonts w:ascii="黑体" w:eastAsia="黑体" w:cs="宋体" w:hint="eastAsia"/>
          <w:sz w:val="28"/>
          <w:szCs w:val="28"/>
        </w:rPr>
        <w:t>发 布</w:t>
      </w:r>
    </w:p>
    <w:p w:rsidR="00641D85" w:rsidRDefault="00311199">
      <w:pPr>
        <w:pStyle w:val="HTML"/>
        <w:widowControl/>
        <w:jc w:val="center"/>
        <w:rPr>
          <w:rFonts w:ascii="黑体" w:eastAsia="黑体" w:cs="黑体"/>
          <w:b/>
          <w:bCs/>
          <w:sz w:val="32"/>
          <w:szCs w:val="32"/>
        </w:rPr>
      </w:pPr>
      <w:r>
        <w:rPr>
          <w:rFonts w:ascii="黑体" w:eastAsia="黑体" w:cs="黑体"/>
          <w:b/>
          <w:bCs/>
          <w:sz w:val="32"/>
          <w:szCs w:val="32"/>
        </w:rPr>
        <w:lastRenderedPageBreak/>
        <w:t>前  言</w:t>
      </w:r>
    </w:p>
    <w:p w:rsidR="00641D85" w:rsidRDefault="00641D85">
      <w:pPr>
        <w:pStyle w:val="HTML"/>
        <w:widowControl/>
        <w:ind w:firstLineChars="200" w:firstLine="420"/>
      </w:pPr>
    </w:p>
    <w:p w:rsidR="00641D85" w:rsidRDefault="00311199">
      <w:pPr>
        <w:pStyle w:val="11"/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cs="宋体" w:hint="eastAsia"/>
        </w:rPr>
        <w:t>本规程由中国绿色食品发展中心提出并归口。</w:t>
      </w:r>
    </w:p>
    <w:p w:rsidR="00641D85" w:rsidRDefault="00311199">
      <w:pPr>
        <w:pStyle w:val="11"/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cs="宋体" w:hint="eastAsia"/>
        </w:rPr>
        <w:t>本规程起草单位：福建省绿色食品发展中心、福建省农业科学院作物科学研究所、福建省植保植检总站、中国绿色食品发展中心、广东省绿色食品发展中心、广西壮族自治区绿色食品发展中心、云南省绿色食品发展中心。</w:t>
      </w:r>
    </w:p>
    <w:p w:rsidR="00641D85" w:rsidRDefault="00311199">
      <w:pPr>
        <w:pStyle w:val="11"/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cs="宋体" w:hint="eastAsia"/>
        </w:rPr>
        <w:t xml:space="preserve">本规程主要起草人：杨芳、薛珠政、关瑞峰、林锌、汤宇青、张志华、陈颖、胡冠华、王日升、刘萍　</w:t>
      </w:r>
    </w:p>
    <w:p w:rsidR="00641D85" w:rsidRDefault="00641D85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2946C4" w:rsidRDefault="002946C4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sz w:val="32"/>
          <w:szCs w:val="32"/>
        </w:rPr>
      </w:pPr>
    </w:p>
    <w:p w:rsidR="00641D85" w:rsidRDefault="00311199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lastRenderedPageBreak/>
        <w:t>华南</w:t>
      </w:r>
      <w:r>
        <w:rPr>
          <w:rFonts w:ascii="黑体" w:eastAsia="黑体" w:cs="黑体"/>
          <w:b/>
          <w:bCs/>
          <w:sz w:val="32"/>
          <w:szCs w:val="32"/>
        </w:rPr>
        <w:t>西南</w:t>
      </w:r>
      <w:r>
        <w:rPr>
          <w:rFonts w:ascii="黑体" w:eastAsia="黑体" w:cs="黑体" w:hint="eastAsia"/>
          <w:b/>
          <w:bCs/>
          <w:sz w:val="32"/>
          <w:szCs w:val="32"/>
        </w:rPr>
        <w:t>地区</w:t>
      </w:r>
    </w:p>
    <w:p w:rsidR="002946C4" w:rsidRDefault="00311199" w:rsidP="00CB3EE4">
      <w:pPr>
        <w:pStyle w:val="11"/>
        <w:spacing w:beforeLines="50" w:afterLines="50" w:line="360" w:lineRule="auto"/>
        <w:ind w:left="357" w:firstLineChars="0" w:firstLine="0"/>
        <w:jc w:val="center"/>
        <w:rPr>
          <w:rFonts w:ascii="黑体" w:eastAsia="黑体" w:cs="黑体"/>
          <w:b/>
          <w:bCs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绿色食品</w:t>
      </w:r>
      <w:r>
        <w:rPr>
          <w:rFonts w:ascii="黑体" w:eastAsia="黑体" w:cs="黑体"/>
          <w:b/>
          <w:bCs/>
          <w:sz w:val="32"/>
          <w:szCs w:val="32"/>
        </w:rPr>
        <w:t>露地胡萝卜</w:t>
      </w:r>
      <w:r>
        <w:rPr>
          <w:rFonts w:ascii="黑体" w:eastAsia="黑体" w:cs="黑体" w:hint="eastAsia"/>
          <w:b/>
          <w:bCs/>
          <w:sz w:val="32"/>
          <w:szCs w:val="32"/>
        </w:rPr>
        <w:t>生产操作规程</w:t>
      </w:r>
    </w:p>
    <w:p w:rsidR="00641D85" w:rsidRDefault="00641D85">
      <w:pPr>
        <w:pStyle w:val="aa"/>
        <w:spacing w:line="400" w:lineRule="atLeast"/>
        <w:ind w:firstLine="420"/>
        <w:rPr>
          <w:rFonts w:cs="黑体"/>
          <w:bCs/>
          <w:szCs w:val="21"/>
        </w:rPr>
      </w:pP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1 范围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本规程规定了华南西南地区绿色食品露地胡萝卜栽培的产地环境、品种选择及种苗处理、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播种前田</w:t>
      </w:r>
      <w:r>
        <w:rPr>
          <w:rFonts w:cs="黑体"/>
          <w:bCs/>
          <w:szCs w:val="21"/>
        </w:rPr>
        <w:t>地</w:t>
      </w:r>
      <w:r>
        <w:rPr>
          <w:rFonts w:cs="黑体" w:hint="eastAsia"/>
          <w:bCs/>
          <w:szCs w:val="21"/>
        </w:rPr>
        <w:t>管理、播种、田间管理、病虫草害防治、收获、生产废弃物处理、包装贮运和质量追溯体系。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本规程适用于福建、</w:t>
      </w:r>
      <w:r>
        <w:rPr>
          <w:rFonts w:ascii="Times New Roman"/>
          <w:szCs w:val="21"/>
        </w:rPr>
        <w:t>广东、</w:t>
      </w:r>
      <w:r>
        <w:rPr>
          <w:rFonts w:cs="黑体" w:hint="eastAsia"/>
          <w:bCs/>
          <w:szCs w:val="21"/>
        </w:rPr>
        <w:t>广</w:t>
      </w:r>
      <w:r>
        <w:rPr>
          <w:rFonts w:cs="黑体"/>
          <w:bCs/>
          <w:szCs w:val="21"/>
        </w:rPr>
        <w:t>西</w:t>
      </w:r>
      <w:r>
        <w:rPr>
          <w:rFonts w:cs="黑体" w:hint="eastAsia"/>
          <w:bCs/>
          <w:szCs w:val="21"/>
        </w:rPr>
        <w:t>、云南的绿色食品露地胡萝卜生产。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2 规范性引用文件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E242A2" w:rsidRDefault="00E242A2" w:rsidP="00E242A2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NY/T</w:t>
      </w:r>
      <w:r>
        <w:rPr>
          <w:rFonts w:cs="黑体"/>
          <w:bCs/>
          <w:szCs w:val="21"/>
        </w:rPr>
        <w:t xml:space="preserve"> </w:t>
      </w:r>
      <w:r>
        <w:rPr>
          <w:rFonts w:cs="黑体" w:hint="eastAsia"/>
          <w:bCs/>
          <w:szCs w:val="21"/>
        </w:rPr>
        <w:t xml:space="preserve">391 绿色食品 </w:t>
      </w:r>
      <w:r>
        <w:rPr>
          <w:rFonts w:cs="黑体"/>
          <w:bCs/>
          <w:szCs w:val="21"/>
        </w:rPr>
        <w:t xml:space="preserve">　</w:t>
      </w:r>
      <w:r>
        <w:rPr>
          <w:rFonts w:cs="黑体" w:hint="eastAsia"/>
          <w:bCs/>
          <w:szCs w:val="21"/>
        </w:rPr>
        <w:t>产地环境质量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NY/T</w:t>
      </w:r>
      <w:r w:rsidR="00E242A2">
        <w:rPr>
          <w:rFonts w:cs="黑体"/>
          <w:bCs/>
          <w:szCs w:val="21"/>
        </w:rPr>
        <w:t xml:space="preserve"> </w:t>
      </w:r>
      <w:r>
        <w:rPr>
          <w:rFonts w:cs="黑体" w:hint="eastAsia"/>
          <w:bCs/>
          <w:szCs w:val="21"/>
        </w:rPr>
        <w:t xml:space="preserve">393 绿色食品 </w:t>
      </w:r>
      <w:r>
        <w:rPr>
          <w:rFonts w:cs="黑体"/>
          <w:bCs/>
          <w:szCs w:val="21"/>
        </w:rPr>
        <w:t xml:space="preserve">　</w:t>
      </w:r>
      <w:r>
        <w:rPr>
          <w:rFonts w:cs="黑体" w:hint="eastAsia"/>
          <w:bCs/>
          <w:szCs w:val="21"/>
        </w:rPr>
        <w:t>农药使用准则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NY/T</w:t>
      </w:r>
      <w:r w:rsidR="00E242A2">
        <w:rPr>
          <w:rFonts w:cs="黑体"/>
          <w:bCs/>
          <w:szCs w:val="21"/>
        </w:rPr>
        <w:t xml:space="preserve"> </w:t>
      </w:r>
      <w:r>
        <w:rPr>
          <w:rFonts w:cs="黑体" w:hint="eastAsia"/>
          <w:bCs/>
          <w:szCs w:val="21"/>
        </w:rPr>
        <w:t xml:space="preserve">394 绿色食品 </w:t>
      </w:r>
      <w:r>
        <w:rPr>
          <w:rFonts w:cs="黑体"/>
          <w:bCs/>
          <w:szCs w:val="21"/>
        </w:rPr>
        <w:t xml:space="preserve">　</w:t>
      </w:r>
      <w:r>
        <w:rPr>
          <w:rFonts w:cs="黑体" w:hint="eastAsia"/>
          <w:bCs/>
          <w:szCs w:val="21"/>
        </w:rPr>
        <w:t>肥料使用准则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NY/T</w:t>
      </w:r>
      <w:r w:rsidR="00E242A2">
        <w:rPr>
          <w:rFonts w:cs="黑体"/>
          <w:bCs/>
          <w:szCs w:val="21"/>
        </w:rPr>
        <w:t xml:space="preserve"> </w:t>
      </w:r>
      <w:r>
        <w:rPr>
          <w:rFonts w:cs="黑体" w:hint="eastAsia"/>
          <w:bCs/>
          <w:szCs w:val="21"/>
        </w:rPr>
        <w:t>658 绿色食品</w:t>
      </w:r>
      <w:r>
        <w:rPr>
          <w:rFonts w:cs="黑体"/>
          <w:bCs/>
          <w:szCs w:val="21"/>
        </w:rPr>
        <w:t xml:space="preserve">　</w:t>
      </w:r>
      <w:r>
        <w:rPr>
          <w:rFonts w:cs="黑体" w:hint="eastAsia"/>
          <w:bCs/>
          <w:szCs w:val="21"/>
        </w:rPr>
        <w:t>包装通用准则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NY/T</w:t>
      </w:r>
      <w:r w:rsidR="00E242A2">
        <w:rPr>
          <w:rFonts w:cs="黑体"/>
          <w:bCs/>
          <w:szCs w:val="21"/>
        </w:rPr>
        <w:t xml:space="preserve"> </w:t>
      </w:r>
      <w:r>
        <w:rPr>
          <w:rFonts w:cs="黑体" w:hint="eastAsia"/>
          <w:bCs/>
          <w:szCs w:val="21"/>
        </w:rPr>
        <w:t>1056 绿色食品 贮藏运输准则</w:t>
      </w:r>
    </w:p>
    <w:p w:rsidR="00641D85" w:rsidRDefault="00311199">
      <w:pPr>
        <w:pStyle w:val="7"/>
        <w:ind w:left="0" w:firstLineChars="200"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NY/T</w:t>
      </w:r>
      <w:r w:rsidR="00E242A2">
        <w:rPr>
          <w:rFonts w:cs="黑体"/>
          <w:bCs/>
          <w:szCs w:val="21"/>
        </w:rPr>
        <w:t xml:space="preserve"> </w:t>
      </w:r>
      <w:r>
        <w:rPr>
          <w:rFonts w:cs="黑体"/>
          <w:bCs/>
          <w:szCs w:val="21"/>
        </w:rPr>
        <w:t>2620</w:t>
      </w:r>
      <w:r>
        <w:rPr>
          <w:rFonts w:cs="黑体" w:hint="eastAsia"/>
          <w:bCs/>
          <w:szCs w:val="21"/>
        </w:rPr>
        <w:t xml:space="preserve"> </w:t>
      </w:r>
      <w:r>
        <w:rPr>
          <w:rFonts w:cs="黑体"/>
          <w:bCs/>
          <w:szCs w:val="21"/>
        </w:rPr>
        <w:t>瓜菜作物种子　萝卜和胡萝卜</w:t>
      </w:r>
    </w:p>
    <w:p w:rsidR="00641D85" w:rsidRDefault="00641D85">
      <w:pPr>
        <w:ind w:firstLineChars="200" w:firstLine="420"/>
      </w:pPr>
    </w:p>
    <w:p w:rsidR="00641D85" w:rsidRDefault="00311199">
      <w:pPr>
        <w:pStyle w:val="aa"/>
        <w:ind w:firstLine="482"/>
        <w:rPr>
          <w:rFonts w:cs="黑体"/>
          <w:b/>
          <w:bCs/>
          <w:szCs w:val="21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3 产地环境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3.1 气候条件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年</w:t>
      </w:r>
      <w:r>
        <w:rPr>
          <w:rFonts w:cs="黑体"/>
          <w:bCs/>
          <w:szCs w:val="21"/>
        </w:rPr>
        <w:t>有效</w:t>
      </w:r>
      <w:r>
        <w:rPr>
          <w:rFonts w:cs="黑体" w:hint="eastAsia"/>
          <w:bCs/>
          <w:szCs w:val="21"/>
        </w:rPr>
        <w:t>积温在2200℃以上，年降雨量在440mm以上。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3.2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土壤条件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宋体" w:hint="eastAsia"/>
        </w:rPr>
        <w:t>基地应选择</w:t>
      </w:r>
      <w:r>
        <w:rPr>
          <w:rFonts w:cs="黑体" w:hint="eastAsia"/>
          <w:bCs/>
          <w:szCs w:val="21"/>
        </w:rPr>
        <w:t>土层深厚</w:t>
      </w:r>
      <w:r>
        <w:rPr>
          <w:rFonts w:cs="宋体" w:hint="eastAsia"/>
        </w:rPr>
        <w:t>、疏松肥沃、排灌方便</w:t>
      </w:r>
      <w:r>
        <w:rPr>
          <w:rFonts w:cs="黑体" w:hint="eastAsia"/>
          <w:bCs/>
          <w:szCs w:val="21"/>
        </w:rPr>
        <w:t>，通气性</w:t>
      </w:r>
      <w:r>
        <w:rPr>
          <w:rFonts w:cs="黑体"/>
          <w:bCs/>
          <w:szCs w:val="21"/>
        </w:rPr>
        <w:t>、</w:t>
      </w:r>
      <w:r>
        <w:rPr>
          <w:rFonts w:cs="黑体" w:hint="eastAsia"/>
          <w:bCs/>
          <w:szCs w:val="21"/>
        </w:rPr>
        <w:t>好田间最大持水量在60%～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80%的壤土、沙壤土，土壤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pH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值在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6.0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7.5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左右。多年连续种植的土壤采用客沙改良，每三年改良一次，每亩用客沙60立方米左右。</w:t>
      </w:r>
    </w:p>
    <w:p w:rsidR="00641D85" w:rsidRDefault="00311199">
      <w:pPr>
        <w:pStyle w:val="aa"/>
        <w:numPr>
          <w:ilvl w:val="1"/>
          <w:numId w:val="1"/>
        </w:numPr>
        <w:ind w:firstLineChars="0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环境质量</w:t>
      </w:r>
    </w:p>
    <w:p w:rsidR="00641D85" w:rsidRDefault="00311199">
      <w:pPr>
        <w:pStyle w:val="aa"/>
        <w:ind w:firstLine="420"/>
        <w:rPr>
          <w:rFonts w:cs="宋体"/>
        </w:rPr>
      </w:pPr>
      <w:r>
        <w:rPr>
          <w:rFonts w:cs="宋体" w:hint="eastAsia"/>
        </w:rPr>
        <w:t>基地应选择</w:t>
      </w:r>
      <w:r>
        <w:rPr>
          <w:rFonts w:cs="黑体" w:hint="eastAsia"/>
          <w:bCs/>
          <w:szCs w:val="21"/>
        </w:rPr>
        <w:t>生态环境良好、无污染的地区，远离工矿区</w:t>
      </w:r>
      <w:r>
        <w:rPr>
          <w:rFonts w:cs="黑体"/>
          <w:bCs/>
          <w:szCs w:val="21"/>
        </w:rPr>
        <w:t>、医院</w:t>
      </w:r>
      <w:r>
        <w:rPr>
          <w:rFonts w:cs="黑体" w:hint="eastAsia"/>
          <w:bCs/>
          <w:szCs w:val="21"/>
        </w:rPr>
        <w:t>和公路铁路干线，</w:t>
      </w:r>
      <w:r>
        <w:rPr>
          <w:rFonts w:cs="宋体" w:hint="eastAsia"/>
        </w:rPr>
        <w:t>远离污染源的地区。大气、灌溉水、土壤质量</w:t>
      </w:r>
      <w:r>
        <w:rPr>
          <w:rFonts w:cs="宋体"/>
        </w:rPr>
        <w:t>等</w:t>
      </w:r>
      <w:r>
        <w:rPr>
          <w:rFonts w:cs="黑体" w:hint="eastAsia"/>
          <w:bCs/>
          <w:szCs w:val="21"/>
        </w:rPr>
        <w:t>产地环境质量应符合NY/T</w:t>
      </w:r>
      <w:r w:rsidR="00E242A2">
        <w:rPr>
          <w:rFonts w:cs="黑体"/>
          <w:bCs/>
          <w:szCs w:val="21"/>
        </w:rPr>
        <w:t xml:space="preserve"> </w:t>
      </w:r>
      <w:r>
        <w:rPr>
          <w:rFonts w:cs="黑体" w:hint="eastAsia"/>
          <w:bCs/>
          <w:szCs w:val="21"/>
        </w:rPr>
        <w:t>391的要求。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4 品种选择及种苗处理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4.1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 xml:space="preserve"> 品种选择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选择适应性广、抗病抗逆性强、商品性好、优质、高产的品种。春播选择生育期短的品种，秋播可选择生育期长的品种</w:t>
      </w:r>
      <w:r>
        <w:rPr>
          <w:rFonts w:cs="黑体"/>
          <w:bCs/>
          <w:szCs w:val="21"/>
        </w:rPr>
        <w:t>，推荐早熟品种井农红、皇家红、雷肯德、艳红99、红誉.中早熟品种坂田红、连天红、中厦红，中晚熟品种莎卡达、红帝、金帝、秋宝、红中宝、</w:t>
      </w:r>
      <w:r>
        <w:rPr>
          <w:rFonts w:cs="黑体" w:hint="eastAsia"/>
          <w:bCs/>
          <w:szCs w:val="21"/>
        </w:rPr>
        <w:t>中晚熟品种：</w:t>
      </w:r>
      <w:r>
        <w:rPr>
          <w:rFonts w:cs="宋体" w:hint="eastAsia"/>
          <w:szCs w:val="21"/>
        </w:rPr>
        <w:t>宝马</w:t>
      </w:r>
      <w:r>
        <w:rPr>
          <w:rFonts w:cs="宋体"/>
          <w:szCs w:val="21"/>
        </w:rPr>
        <w:t>808</w:t>
      </w:r>
      <w:r>
        <w:rPr>
          <w:rFonts w:cs="宋体" w:hint="eastAsia"/>
          <w:szCs w:val="21"/>
        </w:rPr>
        <w:t>、金红</w:t>
      </w:r>
      <w:r>
        <w:rPr>
          <w:rFonts w:cs="宋体"/>
          <w:szCs w:val="21"/>
        </w:rPr>
        <w:t>F-926</w:t>
      </w:r>
      <w:r>
        <w:rPr>
          <w:rFonts w:cs="宋体" w:hint="eastAsia"/>
          <w:szCs w:val="21"/>
        </w:rPr>
        <w:t>、金美</w:t>
      </w:r>
      <w:r>
        <w:rPr>
          <w:rFonts w:cs="宋体"/>
          <w:szCs w:val="21"/>
        </w:rPr>
        <w:t>F-928</w:t>
      </w:r>
      <w:r>
        <w:rPr>
          <w:rFonts w:cs="宋体" w:hint="eastAsia"/>
          <w:szCs w:val="21"/>
        </w:rPr>
        <w:t>、东方红七寸</w:t>
      </w:r>
      <w:r>
        <w:rPr>
          <w:rFonts w:cs="宋体"/>
          <w:szCs w:val="21"/>
        </w:rPr>
        <w:t>、</w:t>
      </w:r>
      <w:r>
        <w:rPr>
          <w:rFonts w:cs="黑体" w:hint="eastAsia"/>
          <w:bCs/>
          <w:szCs w:val="21"/>
        </w:rPr>
        <w:t>五寸参、七寸参、新黑田五寸参、新黑田七寸参、红芯七寸参</w:t>
      </w:r>
      <w:r>
        <w:rPr>
          <w:rFonts w:cs="黑体"/>
          <w:bCs/>
          <w:szCs w:val="21"/>
        </w:rPr>
        <w:t>等。</w:t>
      </w:r>
      <w:r>
        <w:rPr>
          <w:rFonts w:cs="黑体" w:hint="eastAsia"/>
          <w:bCs/>
          <w:szCs w:val="21"/>
        </w:rPr>
        <w:t>种子质量应符合</w:t>
      </w:r>
      <w:r>
        <w:rPr>
          <w:rFonts w:cs="宋体"/>
        </w:rPr>
        <w:t>NY/T2620</w:t>
      </w:r>
      <w:r>
        <w:rPr>
          <w:rFonts w:cs="黑体" w:hint="eastAsia"/>
          <w:bCs/>
          <w:szCs w:val="21"/>
        </w:rPr>
        <w:t>标准要求。</w:t>
      </w:r>
    </w:p>
    <w:p w:rsidR="00641D85" w:rsidRDefault="00311199">
      <w:pPr>
        <w:pStyle w:val="aa"/>
        <w:ind w:firstLine="420"/>
        <w:rPr>
          <w:rFonts w:cs="宋体"/>
          <w:bCs/>
        </w:rPr>
      </w:pPr>
      <w:r>
        <w:rPr>
          <w:rFonts w:cs="宋体" w:hint="eastAsia"/>
          <w:bCs/>
        </w:rPr>
        <w:t>4.2</w:t>
      </w:r>
      <w:r>
        <w:rPr>
          <w:rFonts w:cs="宋体" w:hint="eastAsia"/>
          <w:bCs/>
        </w:rPr>
        <w:t> </w:t>
      </w:r>
      <w:r>
        <w:rPr>
          <w:rFonts w:cs="宋体" w:hint="eastAsia"/>
          <w:bCs/>
        </w:rPr>
        <w:t xml:space="preserve"> 种子处理</w:t>
      </w:r>
    </w:p>
    <w:p w:rsidR="00641D85" w:rsidRDefault="00311199">
      <w:pPr>
        <w:pStyle w:val="aa"/>
        <w:ind w:firstLine="420"/>
        <w:rPr>
          <w:rFonts w:cs="宋体"/>
        </w:rPr>
      </w:pPr>
      <w:r>
        <w:rPr>
          <w:rFonts w:cs="宋体" w:hint="eastAsia"/>
          <w:bCs/>
        </w:rPr>
        <w:t>选用新种子，播前清除杂质，进行发芽试验，确定发芽率。为提高播种质量</w:t>
      </w:r>
      <w:r>
        <w:rPr>
          <w:rFonts w:cs="宋体"/>
          <w:bCs/>
        </w:rPr>
        <w:t>、</w:t>
      </w:r>
      <w:r>
        <w:rPr>
          <w:rFonts w:cs="宋体" w:hint="eastAsia"/>
          <w:bCs/>
        </w:rPr>
        <w:t>出苗率</w:t>
      </w:r>
      <w:r>
        <w:rPr>
          <w:rFonts w:cs="宋体"/>
          <w:bCs/>
        </w:rPr>
        <w:t>以及</w:t>
      </w:r>
      <w:r>
        <w:rPr>
          <w:rFonts w:cs="宋体" w:hint="eastAsia"/>
          <w:bCs/>
        </w:rPr>
        <w:t>便于机械化播种，提倡将种子精选后进行丸粒化。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/>
          <w:b/>
          <w:bCs/>
          <w:sz w:val="24"/>
          <w:szCs w:val="24"/>
        </w:rPr>
        <w:t xml:space="preserve">5　</w:t>
      </w:r>
      <w:r>
        <w:rPr>
          <w:rFonts w:ascii="黑体" w:eastAsia="黑体" w:cs="黑体" w:hint="eastAsia"/>
          <w:b/>
          <w:bCs/>
          <w:sz w:val="24"/>
          <w:szCs w:val="24"/>
        </w:rPr>
        <w:t>播种前田</w:t>
      </w:r>
      <w:r>
        <w:rPr>
          <w:rFonts w:ascii="黑体" w:eastAsia="黑体" w:cs="黑体"/>
          <w:b/>
          <w:bCs/>
          <w:sz w:val="24"/>
          <w:szCs w:val="24"/>
        </w:rPr>
        <w:t>地</w:t>
      </w:r>
      <w:r>
        <w:rPr>
          <w:rFonts w:ascii="黑体" w:eastAsia="黑体" w:cs="黑体" w:hint="eastAsia"/>
          <w:b/>
          <w:bCs/>
          <w:sz w:val="24"/>
          <w:szCs w:val="24"/>
        </w:rPr>
        <w:t>管理</w:t>
      </w:r>
    </w:p>
    <w:p w:rsidR="00641D85" w:rsidRDefault="00311199">
      <w:pPr>
        <w:pStyle w:val="aa"/>
        <w:ind w:left="420" w:firstLineChars="0" w:firstLine="0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5.1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 xml:space="preserve"> 整地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lastRenderedPageBreak/>
        <w:t>深耕细作，深耕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25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～35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，细耙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2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次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3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次，整平晒垡作畦，采用高畦窄沟栽培方式，畦高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25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～35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cm，畦宽</w:t>
      </w:r>
      <w:r>
        <w:rPr>
          <w:rFonts w:cs="黑体" w:hint="eastAsia"/>
          <w:bCs/>
          <w:szCs w:val="21"/>
        </w:rPr>
        <w:t> </w:t>
      </w:r>
      <w:r>
        <w:rPr>
          <w:rFonts w:cs="黑体"/>
          <w:bCs/>
          <w:szCs w:val="21"/>
        </w:rPr>
        <w:t>85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～1</w:t>
      </w:r>
      <w:r>
        <w:rPr>
          <w:rFonts w:cs="黑体"/>
          <w:bCs/>
          <w:szCs w:val="21"/>
        </w:rPr>
        <w:t>20</w:t>
      </w:r>
      <w:r>
        <w:rPr>
          <w:rFonts w:cs="黑体" w:hint="eastAsia"/>
          <w:bCs/>
          <w:szCs w:val="21"/>
        </w:rPr>
        <w:t>cm，播前旋耕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1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次灭草。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5.2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施肥</w:t>
      </w:r>
    </w:p>
    <w:p w:rsidR="00641D85" w:rsidRDefault="00311199">
      <w:pPr>
        <w:pStyle w:val="aa"/>
        <w:ind w:leftChars="100" w:left="210" w:firstLineChars="100" w:firstLine="210"/>
        <w:rPr>
          <w:rFonts w:ascii="黑体" w:eastAsia="黑体" w:cs="黑体"/>
          <w:b/>
          <w:bCs/>
          <w:sz w:val="24"/>
          <w:szCs w:val="24"/>
        </w:rPr>
      </w:pPr>
      <w:r>
        <w:rPr>
          <w:rFonts w:cs="黑体" w:hint="eastAsia"/>
          <w:bCs/>
          <w:szCs w:val="21"/>
        </w:rPr>
        <w:t>播种前每亩施入充分腐熟、细碎优质农家肥1500-3000kg（或1000kg发酵腐熟的甘蔗滤泥，或500～1000kg</w:t>
      </w:r>
      <w:r>
        <w:rPr>
          <w:rFonts w:cs="黑体"/>
          <w:bCs/>
          <w:szCs w:val="21"/>
        </w:rPr>
        <w:t>生物</w:t>
      </w:r>
      <w:r>
        <w:rPr>
          <w:rFonts w:cs="黑体" w:hint="eastAsia"/>
          <w:bCs/>
          <w:szCs w:val="21"/>
        </w:rPr>
        <w:t>有机肥</w:t>
      </w:r>
      <w:r>
        <w:rPr>
          <w:rFonts w:cs="黑体"/>
          <w:bCs/>
          <w:szCs w:val="21"/>
        </w:rPr>
        <w:t>，</w:t>
      </w:r>
      <w:r>
        <w:rPr>
          <w:rFonts w:hint="eastAsia"/>
        </w:rPr>
        <w:t>或</w:t>
      </w:r>
      <w:r>
        <w:t>400</w:t>
      </w:r>
      <w:r>
        <w:rPr>
          <w:rFonts w:cs="黑体" w:hint="eastAsia"/>
          <w:bCs/>
          <w:szCs w:val="21"/>
        </w:rPr>
        <w:t>～</w:t>
      </w:r>
      <w:r>
        <w:t>1000 kg</w:t>
      </w:r>
      <w:r>
        <w:rPr>
          <w:rFonts w:hint="eastAsia"/>
        </w:rPr>
        <w:t>商品有机肥</w:t>
      </w:r>
      <w:r>
        <w:rPr>
          <w:rFonts w:cs="黑体" w:hint="eastAsia"/>
          <w:bCs/>
          <w:szCs w:val="21"/>
        </w:rPr>
        <w:t>），肥料质量应符合NY/T394要求，结合深耕，全面铺施</w:t>
      </w:r>
      <w:r>
        <w:rPr>
          <w:rFonts w:ascii="黑体" w:eastAsia="黑体" w:cs="黑体"/>
          <w:b/>
          <w:bCs/>
          <w:sz w:val="24"/>
          <w:szCs w:val="24"/>
        </w:rPr>
        <w:t>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6　播种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6.1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播期</w:t>
      </w:r>
    </w:p>
    <w:p w:rsidR="00641D85" w:rsidRDefault="00311199">
      <w:pPr>
        <w:pStyle w:val="aa"/>
        <w:ind w:firstLine="420"/>
        <w:rPr>
          <w:rFonts w:cs="黑体"/>
          <w:szCs w:val="21"/>
        </w:rPr>
      </w:pPr>
      <w:r>
        <w:rPr>
          <w:rFonts w:cs="黑体" w:hint="eastAsia"/>
          <w:szCs w:val="21"/>
        </w:rPr>
        <w:t>秋播8月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～11月，春播2月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～3月。福建、广东一般只在秋季种植。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6.2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播量</w:t>
      </w:r>
    </w:p>
    <w:p w:rsidR="00641D85" w:rsidRDefault="00311199">
      <w:pPr>
        <w:pStyle w:val="aa"/>
        <w:ind w:firstLine="420"/>
        <w:rPr>
          <w:rFonts w:cs="黑体"/>
          <w:szCs w:val="21"/>
        </w:rPr>
      </w:pPr>
      <w:r>
        <w:rPr>
          <w:rFonts w:cs="黑体" w:hint="eastAsia"/>
          <w:szCs w:val="21"/>
        </w:rPr>
        <w:t>播种量因地制宜。采用条播方式，每畦播4～5行，株距6～8cm，每亩用种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0.35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kg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～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0.</w:t>
      </w:r>
      <w:r>
        <w:rPr>
          <w:rFonts w:cs="黑体"/>
          <w:szCs w:val="21"/>
        </w:rPr>
        <w:t>70</w:t>
      </w:r>
      <w:r>
        <w:rPr>
          <w:rFonts w:cs="黑体" w:hint="eastAsia"/>
          <w:szCs w:val="21"/>
        </w:rPr>
        <w:t>kg；采用四行四角形的穴播，株距7～9cm。按株行距开种植穴，穴宽深各0.5 ㎝，起畦播种，每亩用种0.25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kg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～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0.35</w:t>
      </w:r>
      <w:r>
        <w:rPr>
          <w:rFonts w:cs="黑体" w:hint="eastAsia"/>
          <w:szCs w:val="21"/>
        </w:rPr>
        <w:t> </w:t>
      </w:r>
      <w:r>
        <w:rPr>
          <w:rFonts w:cs="黑体" w:hint="eastAsia"/>
          <w:szCs w:val="21"/>
        </w:rPr>
        <w:t>kg。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6.3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 xml:space="preserve"> 覆土</w:t>
      </w:r>
    </w:p>
    <w:p w:rsidR="00641D85" w:rsidRPr="00406400" w:rsidRDefault="00311199" w:rsidP="00406400">
      <w:pPr>
        <w:pStyle w:val="aa"/>
        <w:ind w:firstLine="420"/>
        <w:rPr>
          <w:rFonts w:cs="黑体"/>
          <w:szCs w:val="21"/>
        </w:rPr>
      </w:pPr>
      <w:r w:rsidRPr="00406400">
        <w:rPr>
          <w:rFonts w:cs="黑体" w:hint="eastAsia"/>
          <w:szCs w:val="21"/>
        </w:rPr>
        <w:t>播种后覆土</w:t>
      </w:r>
      <w:r w:rsidRPr="00406400">
        <w:rPr>
          <w:rFonts w:cs="黑体" w:hint="eastAsia"/>
          <w:szCs w:val="21"/>
        </w:rPr>
        <w:t> </w:t>
      </w:r>
      <w:r w:rsidRPr="00406400">
        <w:rPr>
          <w:rFonts w:cs="黑体" w:hint="eastAsia"/>
          <w:szCs w:val="21"/>
        </w:rPr>
        <w:t>约1－2</w:t>
      </w:r>
      <w:r w:rsidRPr="00406400">
        <w:rPr>
          <w:rFonts w:cs="黑体" w:hint="eastAsia"/>
          <w:szCs w:val="21"/>
        </w:rPr>
        <w:t> </w:t>
      </w:r>
      <w:r w:rsidRPr="00406400">
        <w:rPr>
          <w:rFonts w:cs="黑体" w:hint="eastAsia"/>
          <w:szCs w:val="21"/>
        </w:rPr>
        <w:t>cm</w:t>
      </w:r>
      <w:r w:rsidRPr="00406400">
        <w:rPr>
          <w:rFonts w:cs="黑体" w:hint="eastAsia"/>
          <w:szCs w:val="21"/>
        </w:rPr>
        <w:t> </w:t>
      </w:r>
      <w:r w:rsidRPr="00406400">
        <w:rPr>
          <w:rFonts w:cs="黑体" w:hint="eastAsia"/>
          <w:szCs w:val="21"/>
        </w:rPr>
        <w:t>，覆土后轻压土一次。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7　田间管理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7.1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除草</w:t>
      </w:r>
    </w:p>
    <w:p w:rsidR="00641D85" w:rsidRDefault="00311199">
      <w:pPr>
        <w:pStyle w:val="aa"/>
        <w:ind w:firstLine="420"/>
        <w:rPr>
          <w:rFonts w:cs="黑体"/>
          <w:szCs w:val="21"/>
        </w:rPr>
      </w:pPr>
      <w:r>
        <w:rPr>
          <w:rFonts w:cs="黑体" w:hint="eastAsia"/>
          <w:szCs w:val="21"/>
        </w:rPr>
        <w:t>播前旋耕灭草，封行前中耕除草，同时将畦沟的土壤培于畦面，结合间苗及时拔除苗眼杂草。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7.2 浇水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szCs w:val="21"/>
        </w:rPr>
        <w:t>出苗前保持土壤湿润，土壤田间持水量保持在65%～80%。土壤水分不足建议使用喷灌方式浇水，用水质量应符合NY/T</w:t>
      </w:r>
      <w:r w:rsidR="002B7239">
        <w:rPr>
          <w:rFonts w:cs="黑体"/>
          <w:szCs w:val="21"/>
        </w:rPr>
        <w:t xml:space="preserve"> </w:t>
      </w:r>
      <w:r>
        <w:rPr>
          <w:rFonts w:cs="黑体" w:hint="eastAsia"/>
          <w:szCs w:val="21"/>
        </w:rPr>
        <w:t>391绿色食品产地环境质量农田灌</w:t>
      </w:r>
      <w:r>
        <w:rPr>
          <w:rFonts w:cs="黑体"/>
          <w:szCs w:val="21"/>
        </w:rPr>
        <w:t>溉水环境质</w:t>
      </w:r>
      <w:r>
        <w:rPr>
          <w:rFonts w:cs="黑体"/>
          <w:bCs/>
          <w:szCs w:val="21"/>
        </w:rPr>
        <w:t>量标准</w:t>
      </w:r>
      <w:r>
        <w:rPr>
          <w:rFonts w:cs="黑体" w:hint="eastAsia"/>
          <w:bCs/>
          <w:szCs w:val="21"/>
        </w:rPr>
        <w:t>要求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7.3 间苗 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胡萝卜出苗后，要及时间苗（即匀苗），避免幼苗相互拥挤或光照不良，要掌握早间苗、晚定苗的原则。植株1～2片叶时，进行第一次间苗，苗株距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2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3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；3～4片叶时，进行第二次间苗，苗株距早熟品种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3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、晚熟品种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5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8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cm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；5～6片叶时定苗。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7.4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/>
          <w:b/>
          <w:bCs/>
          <w:szCs w:val="21"/>
        </w:rPr>
        <w:t>中耕</w:t>
      </w:r>
      <w:r>
        <w:rPr>
          <w:rFonts w:cs="黑体" w:hint="eastAsia"/>
          <w:b/>
          <w:bCs/>
          <w:szCs w:val="21"/>
        </w:rPr>
        <w:t>蹲苗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幼苗定苗后，喷施新高脂膜，有效防止地上水分蒸发和苗期病害；叶旺盛期控制水分，</w:t>
      </w:r>
      <w:r>
        <w:rPr>
          <w:rFonts w:cs="黑体"/>
          <w:b/>
          <w:bCs/>
          <w:szCs w:val="21"/>
        </w:rPr>
        <w:t>中耕</w:t>
      </w:r>
      <w:r>
        <w:rPr>
          <w:rFonts w:cs="黑体"/>
          <w:bCs/>
          <w:szCs w:val="21"/>
        </w:rPr>
        <w:t>进行</w:t>
      </w:r>
      <w:r>
        <w:rPr>
          <w:rFonts w:cs="黑体" w:hint="eastAsia"/>
          <w:bCs/>
          <w:szCs w:val="21"/>
        </w:rPr>
        <w:t>蹲苗；</w:t>
      </w:r>
      <w:r>
        <w:rPr>
          <w:rFonts w:hint="eastAsia"/>
        </w:rPr>
        <w:t>肉质根膨大前期培土，结合中耕将畦沟间土壤培向根部，使根部没入土中，防止肉质根见光转绿，出现“青头”症状</w:t>
      </w:r>
      <w:r>
        <w:t>；</w:t>
      </w:r>
      <w:r>
        <w:rPr>
          <w:rFonts w:cs="黑体" w:hint="eastAsia"/>
          <w:bCs/>
          <w:szCs w:val="21"/>
        </w:rPr>
        <w:t>肉质根肥大期要充足供水。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7.5 施肥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肥料使用应符合NY/T394的要求，坚持安全优质、基肥为主追肥为辅、有机肥为主化肥为辅的原则，有机氮和无机氮的比例超过1：1。根据当地土壤肥力水平和产量目标确定施肥量。定苗后第一次结合浇水施</w:t>
      </w:r>
      <w:r>
        <w:rPr>
          <w:rFonts w:cs="黑体"/>
          <w:bCs/>
          <w:szCs w:val="21"/>
        </w:rPr>
        <w:t>高钾</w:t>
      </w:r>
      <w:r>
        <w:rPr>
          <w:rFonts w:cs="黑体" w:hint="eastAsia"/>
          <w:bCs/>
          <w:szCs w:val="21"/>
        </w:rPr>
        <w:t>复合肥15kg/亩，地下根茎长出第二次施</w:t>
      </w:r>
      <w:r>
        <w:rPr>
          <w:rFonts w:cs="黑体"/>
          <w:bCs/>
          <w:szCs w:val="21"/>
        </w:rPr>
        <w:t>高钾</w:t>
      </w:r>
      <w:r>
        <w:rPr>
          <w:rFonts w:cs="黑体" w:hint="eastAsia"/>
          <w:bCs/>
          <w:szCs w:val="21"/>
        </w:rPr>
        <w:t>复合肥30kg/亩，地下根茎膨大期进行第三次施</w:t>
      </w:r>
      <w:r>
        <w:rPr>
          <w:rFonts w:cs="黑体"/>
          <w:bCs/>
          <w:szCs w:val="21"/>
        </w:rPr>
        <w:t>高钾</w:t>
      </w:r>
      <w:r>
        <w:rPr>
          <w:rFonts w:cs="黑体" w:hint="eastAsia"/>
          <w:bCs/>
          <w:szCs w:val="21"/>
        </w:rPr>
        <w:t>复合肥40kg/亩。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 xml:space="preserve">8 </w:t>
      </w:r>
      <w:r>
        <w:rPr>
          <w:rFonts w:eastAsia="黑体" w:cs="黑体" w:hint="eastAsia"/>
          <w:b/>
          <w:bCs/>
          <w:sz w:val="24"/>
          <w:szCs w:val="24"/>
        </w:rPr>
        <w:t> </w:t>
      </w:r>
      <w:r>
        <w:rPr>
          <w:rFonts w:ascii="黑体" w:eastAsia="黑体" w:cs="黑体" w:hint="eastAsia"/>
          <w:b/>
          <w:bCs/>
          <w:sz w:val="24"/>
          <w:szCs w:val="24"/>
        </w:rPr>
        <w:t>病虫害防治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8.1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防治原则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坚持“预防为主，综合防治”的原则</w:t>
      </w:r>
      <w:r>
        <w:rPr>
          <w:rFonts w:cs="黑体"/>
          <w:bCs/>
          <w:szCs w:val="21"/>
        </w:rPr>
        <w:t>，</w:t>
      </w:r>
      <w:r>
        <w:rPr>
          <w:rFonts w:cs="黑体" w:hint="eastAsia"/>
          <w:bCs/>
          <w:szCs w:val="21"/>
        </w:rPr>
        <w:t>推广绿色防控技术，优先采用农业防控、理化诱控、生态调控、生物防控，必要时，开展化学防控，合理使用高效低毒低残留化学农药，农药使用应符合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NY/T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393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的要求。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8.2</w:t>
      </w:r>
      <w:r>
        <w:rPr>
          <w:rFonts w:cs="黑体"/>
          <w:b/>
          <w:bCs/>
          <w:szCs w:val="21"/>
        </w:rPr>
        <w:t xml:space="preserve">　</w:t>
      </w:r>
      <w:r>
        <w:rPr>
          <w:rFonts w:cs="黑体" w:hint="eastAsia"/>
          <w:b/>
          <w:bCs/>
          <w:szCs w:val="21"/>
        </w:rPr>
        <w:t>常见病虫害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胡萝卜主要虫害有：</w:t>
      </w:r>
      <w:r>
        <w:rPr>
          <w:rFonts w:hint="eastAsia"/>
          <w:szCs w:val="21"/>
        </w:rPr>
        <w:t>蛴螬等</w:t>
      </w:r>
      <w:r>
        <w:rPr>
          <w:rFonts w:cs="黑体" w:hint="eastAsia"/>
          <w:bCs/>
          <w:szCs w:val="21"/>
        </w:rPr>
        <w:t>地下害虫、</w:t>
      </w:r>
      <w:r>
        <w:rPr>
          <w:rFonts w:hint="eastAsia"/>
          <w:szCs w:val="21"/>
        </w:rPr>
        <w:t>蚜虫</w:t>
      </w:r>
      <w:r>
        <w:rPr>
          <w:szCs w:val="21"/>
        </w:rPr>
        <w:t>、</w:t>
      </w:r>
      <w:r>
        <w:rPr>
          <w:rFonts w:hint="eastAsia"/>
          <w:szCs w:val="21"/>
        </w:rPr>
        <w:t>白粉虱</w:t>
      </w:r>
      <w:r>
        <w:rPr>
          <w:szCs w:val="21"/>
        </w:rPr>
        <w:t>、</w:t>
      </w:r>
      <w:r>
        <w:rPr>
          <w:rFonts w:hint="eastAsia"/>
          <w:szCs w:val="21"/>
        </w:rPr>
        <w:t>甜菜夜蛾、小菜蛾等鳞翅目害虫</w:t>
      </w:r>
      <w:r>
        <w:rPr>
          <w:szCs w:val="21"/>
        </w:rPr>
        <w:t>；</w:t>
      </w:r>
      <w:r>
        <w:rPr>
          <w:rFonts w:cs="黑体" w:hint="eastAsia"/>
          <w:bCs/>
          <w:szCs w:val="21"/>
        </w:rPr>
        <w:t>胡萝卜主要病害有：</w:t>
      </w:r>
      <w:r>
        <w:rPr>
          <w:rFonts w:hint="eastAsia"/>
          <w:szCs w:val="21"/>
        </w:rPr>
        <w:t>根腐病</w:t>
      </w:r>
      <w:r>
        <w:rPr>
          <w:szCs w:val="21"/>
        </w:rPr>
        <w:t>、</w:t>
      </w:r>
      <w:r>
        <w:rPr>
          <w:rFonts w:hint="eastAsia"/>
          <w:szCs w:val="21"/>
        </w:rPr>
        <w:t>菌核病</w:t>
      </w:r>
      <w:r>
        <w:rPr>
          <w:szCs w:val="21"/>
        </w:rPr>
        <w:t>、</w:t>
      </w:r>
      <w:r>
        <w:rPr>
          <w:rFonts w:hint="eastAsia"/>
          <w:szCs w:val="21"/>
        </w:rPr>
        <w:t>灰霉病</w:t>
      </w:r>
      <w:r>
        <w:rPr>
          <w:szCs w:val="21"/>
        </w:rPr>
        <w:t>、</w:t>
      </w:r>
      <w:r>
        <w:rPr>
          <w:rFonts w:hint="eastAsia"/>
          <w:szCs w:val="21"/>
        </w:rPr>
        <w:t>黑斑病</w:t>
      </w:r>
      <w:r>
        <w:rPr>
          <w:szCs w:val="21"/>
        </w:rPr>
        <w:t>、</w:t>
      </w:r>
      <w:r>
        <w:rPr>
          <w:rFonts w:hint="eastAsia"/>
          <w:szCs w:val="21"/>
        </w:rPr>
        <w:t>白粉病</w:t>
      </w:r>
      <w:r>
        <w:rPr>
          <w:rFonts w:cs="黑体" w:hint="eastAsia"/>
          <w:bCs/>
          <w:szCs w:val="21"/>
        </w:rPr>
        <w:t>等。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>8.3 防治措施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lastRenderedPageBreak/>
        <w:t>8.3.1 农业防治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/>
          <w:bCs/>
          <w:szCs w:val="21"/>
        </w:rPr>
        <w:t>选用抗</w:t>
      </w:r>
      <w:r>
        <w:rPr>
          <w:rFonts w:cs="宋体" w:hint="eastAsia"/>
        </w:rPr>
        <w:t>病虫、抗逆</w:t>
      </w:r>
      <w:r>
        <w:rPr>
          <w:rFonts w:cs="黑体"/>
          <w:bCs/>
          <w:szCs w:val="21"/>
        </w:rPr>
        <w:t>强的品种，品种定期轮换，保持品种抗性。</w:t>
      </w:r>
      <w:r>
        <w:rPr>
          <w:rFonts w:cs="黑体" w:hint="eastAsia"/>
          <w:bCs/>
          <w:szCs w:val="21"/>
        </w:rPr>
        <w:t>合理</w:t>
      </w:r>
      <w:r>
        <w:rPr>
          <w:rFonts w:cs="黑体"/>
          <w:bCs/>
          <w:szCs w:val="21"/>
        </w:rPr>
        <w:t>耕作，</w:t>
      </w:r>
      <w:r>
        <w:rPr>
          <w:rFonts w:cs="黑体" w:hint="eastAsia"/>
          <w:bCs/>
          <w:szCs w:val="21"/>
        </w:rPr>
        <w:t>轮作</w:t>
      </w:r>
      <w:r>
        <w:rPr>
          <w:rFonts w:cs="黑体"/>
          <w:bCs/>
          <w:szCs w:val="21"/>
        </w:rPr>
        <w:t>换茬，</w:t>
      </w:r>
      <w:r>
        <w:rPr>
          <w:rFonts w:cs="宋体" w:hint="eastAsia"/>
        </w:rPr>
        <w:t>与葱类、禾本科、豆科或绿肥等非伞形科作物轮作，也</w:t>
      </w:r>
      <w:r>
        <w:rPr>
          <w:rFonts w:cs="宋体"/>
        </w:rPr>
        <w:t>可</w:t>
      </w:r>
      <w:r>
        <w:rPr>
          <w:rFonts w:cs="宋体" w:hint="eastAsia"/>
        </w:rPr>
        <w:t>与葱类作物混作防止枯萎病。</w:t>
      </w:r>
      <w:r>
        <w:rPr>
          <w:rFonts w:cs="黑体" w:hint="eastAsia"/>
          <w:bCs/>
          <w:szCs w:val="21"/>
        </w:rPr>
        <w:t>深沟高畦、适时浇水，勤锄杂草</w:t>
      </w:r>
      <w:r>
        <w:rPr>
          <w:rFonts w:cs="宋体" w:hint="eastAsia"/>
        </w:rPr>
        <w:t>，合理密植，</w:t>
      </w:r>
      <w:r>
        <w:rPr>
          <w:rFonts w:cs="黑体"/>
          <w:bCs/>
          <w:szCs w:val="21"/>
        </w:rPr>
        <w:t>合理施肥，</w:t>
      </w:r>
      <w:r>
        <w:rPr>
          <w:rFonts w:cs="黑体" w:hint="eastAsia"/>
          <w:bCs/>
          <w:szCs w:val="21"/>
        </w:rPr>
        <w:t>增施有机肥；收获后及时清洁田园，减少病虫源</w:t>
      </w:r>
      <w:r>
        <w:rPr>
          <w:rFonts w:cs="黑体"/>
          <w:bCs/>
          <w:szCs w:val="21"/>
        </w:rPr>
        <w:t>，</w:t>
      </w:r>
      <w:r>
        <w:rPr>
          <w:rFonts w:cs="黑体" w:hint="eastAsia"/>
          <w:bCs/>
          <w:szCs w:val="21"/>
        </w:rPr>
        <w:t>培育壮苗</w:t>
      </w:r>
      <w:r>
        <w:rPr>
          <w:rFonts w:cs="黑体"/>
          <w:bCs/>
          <w:szCs w:val="21"/>
        </w:rPr>
        <w:t>、健身栽培，减少有害生物的发生。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8.3.2 物理防治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应用各种杀虫灯、黄板诱杀害虫。</w:t>
      </w:r>
      <w:r>
        <w:rPr>
          <w:rFonts w:cs="黑体"/>
          <w:bCs/>
          <w:szCs w:val="21"/>
        </w:rPr>
        <w:t>每30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</w:t>
      </w:r>
      <w:r>
        <w:rPr>
          <w:rFonts w:cs="黑体" w:hint="eastAsia"/>
          <w:bCs/>
          <w:szCs w:val="21"/>
        </w:rPr>
        <w:t> </w:t>
      </w:r>
      <w:r>
        <w:rPr>
          <w:rFonts w:cs="黑体"/>
          <w:bCs/>
          <w:szCs w:val="21"/>
        </w:rPr>
        <w:t>40亩安装1台太阳能频振式杀虫灯、</w:t>
      </w:r>
      <w:r>
        <w:rPr>
          <w:rFonts w:hint="eastAsia"/>
        </w:rPr>
        <w:t>黑光灯、或双波灯</w:t>
      </w:r>
      <w:r>
        <w:t>等</w:t>
      </w:r>
      <w:r>
        <w:rPr>
          <w:rFonts w:hint="eastAsia"/>
        </w:rPr>
        <w:t>诱杀</w:t>
      </w:r>
      <w:r>
        <w:rPr>
          <w:rFonts w:hint="eastAsia"/>
          <w:szCs w:val="21"/>
        </w:rPr>
        <w:t>甜菜夜蛾、小菜蛾等鳞翅目害虫</w:t>
      </w:r>
      <w:r>
        <w:rPr>
          <w:szCs w:val="21"/>
        </w:rPr>
        <w:t>；每亩悬挂30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～</w:t>
      </w:r>
      <w:r>
        <w:rPr>
          <w:rFonts w:cs="黑体"/>
          <w:bCs/>
          <w:szCs w:val="21"/>
        </w:rPr>
        <w:t>50张色诱板诱杀</w:t>
      </w:r>
      <w:r>
        <w:rPr>
          <w:rFonts w:hint="eastAsia"/>
          <w:szCs w:val="21"/>
        </w:rPr>
        <w:t>蚜虫</w:t>
      </w:r>
      <w:r>
        <w:rPr>
          <w:szCs w:val="21"/>
        </w:rPr>
        <w:t>、</w:t>
      </w:r>
      <w:r>
        <w:rPr>
          <w:rFonts w:hint="eastAsia"/>
          <w:szCs w:val="21"/>
        </w:rPr>
        <w:t>粉虱</w:t>
      </w:r>
      <w:r>
        <w:rPr>
          <w:szCs w:val="21"/>
        </w:rPr>
        <w:t>等。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8.3.3 生物防治</w:t>
      </w:r>
    </w:p>
    <w:p w:rsidR="00641D85" w:rsidRDefault="00311199">
      <w:pPr>
        <w:spacing w:line="400" w:lineRule="atLeast"/>
        <w:ind w:firstLineChars="200" w:firstLine="420"/>
        <w:rPr>
          <w:rFonts w:ascii="宋体" w:cs="宋体"/>
        </w:rPr>
      </w:pPr>
      <w:r>
        <w:rPr>
          <w:rFonts w:ascii="宋体" w:cs="宋体" w:hint="eastAsia"/>
        </w:rPr>
        <w:t>积极保护利用天敌，防治病虫害</w:t>
      </w:r>
      <w:r>
        <w:rPr>
          <w:rFonts w:ascii="宋体" w:cs="宋体"/>
        </w:rPr>
        <w:t>。</w:t>
      </w:r>
      <w:r>
        <w:rPr>
          <w:rFonts w:cs="黑体"/>
          <w:bCs/>
          <w:szCs w:val="21"/>
        </w:rPr>
        <w:t>在成虫发生期，</w:t>
      </w:r>
      <w:r>
        <w:rPr>
          <w:rFonts w:hint="eastAsia"/>
        </w:rPr>
        <w:t>运用害虫天敌</w:t>
      </w:r>
      <w:r>
        <w:t>、</w:t>
      </w:r>
      <w:r>
        <w:rPr>
          <w:rFonts w:cs="黑体" w:hint="eastAsia"/>
          <w:bCs/>
          <w:szCs w:val="21"/>
        </w:rPr>
        <w:t>昆虫性信息素</w:t>
      </w:r>
      <w:r>
        <w:rPr>
          <w:rFonts w:cs="黑体"/>
          <w:bCs/>
          <w:szCs w:val="21"/>
        </w:rPr>
        <w:t>捕（诱）杀害虫；用</w:t>
      </w:r>
      <w:r>
        <w:rPr>
          <w:rFonts w:ascii="宋体" w:cs="宋体" w:hint="eastAsia"/>
        </w:rPr>
        <w:t>瓢虫防治蚜虫，用丽蚜小蜂防治白粉虱等。</w:t>
      </w:r>
    </w:p>
    <w:p w:rsidR="00641D85" w:rsidRDefault="00311199">
      <w:pPr>
        <w:spacing w:line="400" w:lineRule="atLeast"/>
        <w:ind w:firstLineChars="200"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 xml:space="preserve">8.3.4 </w:t>
      </w:r>
      <w:r>
        <w:rPr>
          <w:rFonts w:cs="黑体" w:hint="eastAsia"/>
          <w:bCs/>
          <w:szCs w:val="21"/>
        </w:rPr>
        <w:t>化学防治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整畦开沟播种前</w:t>
      </w:r>
      <w:r w:rsidR="002C5446">
        <w:rPr>
          <w:rFonts w:cs="黑体" w:hint="eastAsia"/>
          <w:bCs/>
          <w:szCs w:val="21"/>
        </w:rPr>
        <w:t>每亩</w:t>
      </w:r>
      <w:r>
        <w:rPr>
          <w:rFonts w:cs="黑体" w:hint="eastAsia"/>
          <w:bCs/>
          <w:szCs w:val="21"/>
        </w:rPr>
        <w:t>使用</w:t>
      </w:r>
      <w:r w:rsidR="002C5446">
        <w:rPr>
          <w:rFonts w:cs="黑体" w:hint="eastAsia"/>
          <w:bCs/>
          <w:szCs w:val="21"/>
        </w:rPr>
        <w:t>3</w:t>
      </w:r>
      <w:r w:rsidR="002C5446">
        <w:rPr>
          <w:rFonts w:cs="黑体"/>
          <w:bCs/>
          <w:szCs w:val="21"/>
        </w:rPr>
        <w:t>%</w:t>
      </w:r>
      <w:r>
        <w:rPr>
          <w:rFonts w:cs="黑体" w:hint="eastAsia"/>
          <w:bCs/>
          <w:szCs w:val="21"/>
        </w:rPr>
        <w:t>辛硫磷</w:t>
      </w:r>
      <w:r w:rsidR="002C5446">
        <w:rPr>
          <w:rFonts w:cs="黑体" w:hint="eastAsia"/>
          <w:bCs/>
          <w:szCs w:val="21"/>
        </w:rPr>
        <w:t>颗粒剂</w:t>
      </w:r>
      <w:r w:rsidR="002C5446">
        <w:rPr>
          <w:rFonts w:cs="黑体"/>
          <w:bCs/>
          <w:szCs w:val="21"/>
        </w:rPr>
        <w:t>4000g</w:t>
      </w:r>
      <w:r w:rsidR="002C5446">
        <w:rPr>
          <w:rFonts w:cs="黑体" w:hint="eastAsia"/>
          <w:bCs/>
          <w:szCs w:val="21"/>
        </w:rPr>
        <w:t>～</w:t>
      </w:r>
      <w:r w:rsidR="002C5446">
        <w:rPr>
          <w:rFonts w:cs="黑体"/>
          <w:bCs/>
          <w:szCs w:val="21"/>
        </w:rPr>
        <w:t>8333g</w:t>
      </w:r>
      <w:r>
        <w:rPr>
          <w:rFonts w:cs="黑体" w:hint="eastAsia"/>
          <w:bCs/>
          <w:szCs w:val="21"/>
        </w:rPr>
        <w:t>拌细土50㎏，撒于畦内耙匀防治地下害虫。农药的选择、使用</w:t>
      </w:r>
      <w:r>
        <w:rPr>
          <w:rFonts w:cs="黑体"/>
          <w:bCs/>
          <w:szCs w:val="21"/>
        </w:rPr>
        <w:t>方法</w:t>
      </w:r>
      <w:r>
        <w:rPr>
          <w:rFonts w:cs="黑体" w:hint="eastAsia"/>
          <w:bCs/>
          <w:szCs w:val="21"/>
        </w:rPr>
        <w:t>和</w:t>
      </w:r>
      <w:r>
        <w:rPr>
          <w:rFonts w:cs="黑体"/>
          <w:bCs/>
          <w:szCs w:val="21"/>
        </w:rPr>
        <w:t>安全间隔期</w:t>
      </w:r>
      <w:r>
        <w:rPr>
          <w:rFonts w:cs="黑体" w:hint="eastAsia"/>
          <w:bCs/>
          <w:szCs w:val="21"/>
        </w:rPr>
        <w:t>都应符合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NY/T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393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的要求。应按照农药产品标签或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GB/T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8321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和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GB</w:t>
      </w:r>
      <w:r>
        <w:rPr>
          <w:rFonts w:cs="黑体" w:hint="eastAsia"/>
          <w:bCs/>
          <w:szCs w:val="21"/>
        </w:rPr>
        <w:t> </w:t>
      </w:r>
      <w:r>
        <w:rPr>
          <w:rFonts w:cs="黑体" w:hint="eastAsia"/>
          <w:bCs/>
          <w:szCs w:val="21"/>
        </w:rPr>
        <w:t>12475的规定使用农药，控制施药剂量（或浓度）、施药次数和安全间隔期。主要病虫害农药推荐使用方案参见附录A。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 xml:space="preserve">9 </w:t>
      </w:r>
      <w:r>
        <w:rPr>
          <w:rFonts w:eastAsia="黑体" w:cs="黑体" w:hint="eastAsia"/>
          <w:b/>
          <w:bCs/>
          <w:sz w:val="24"/>
          <w:szCs w:val="24"/>
        </w:rPr>
        <w:t> </w:t>
      </w:r>
      <w:r>
        <w:rPr>
          <w:rFonts w:ascii="黑体" w:eastAsia="黑体" w:cs="黑体" w:hint="eastAsia"/>
          <w:b/>
          <w:bCs/>
          <w:sz w:val="24"/>
          <w:szCs w:val="24"/>
        </w:rPr>
        <w:t>收获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根据品种特性，待肉质根充分膨大符合农药使用安全间隔期和上市要求即可采收；采收时要注意防止损伤肉质根。秋播</w:t>
      </w:r>
      <w:r>
        <w:rPr>
          <w:rFonts w:cs="黑体"/>
          <w:bCs/>
          <w:szCs w:val="21"/>
        </w:rPr>
        <w:t>9月</w:t>
      </w:r>
      <w:r>
        <w:rPr>
          <w:rFonts w:cs="黑体" w:hint="eastAsia"/>
          <w:bCs/>
          <w:szCs w:val="21"/>
        </w:rPr>
        <w:t>～</w:t>
      </w:r>
      <w:r>
        <w:rPr>
          <w:rFonts w:cs="黑体"/>
          <w:bCs/>
          <w:szCs w:val="21"/>
        </w:rPr>
        <w:t>11月，</w:t>
      </w:r>
      <w:r>
        <w:rPr>
          <w:rFonts w:cs="黑体" w:hint="eastAsia"/>
          <w:bCs/>
          <w:szCs w:val="21"/>
        </w:rPr>
        <w:t>胡萝卜生长期约1</w:t>
      </w:r>
      <w:r>
        <w:rPr>
          <w:rFonts w:cs="黑体"/>
          <w:bCs/>
          <w:szCs w:val="21"/>
        </w:rPr>
        <w:t>2</w:t>
      </w:r>
      <w:r>
        <w:rPr>
          <w:rFonts w:cs="黑体" w:hint="eastAsia"/>
          <w:bCs/>
          <w:szCs w:val="21"/>
        </w:rPr>
        <w:t>0d～</w:t>
      </w:r>
      <w:r>
        <w:rPr>
          <w:rFonts w:cs="黑体"/>
          <w:bCs/>
          <w:szCs w:val="21"/>
        </w:rPr>
        <w:t>180d</w:t>
      </w:r>
      <w:r>
        <w:rPr>
          <w:rFonts w:cs="黑体" w:hint="eastAsia"/>
          <w:bCs/>
          <w:szCs w:val="21"/>
        </w:rPr>
        <w:t>，在翌年2月～5月采收</w:t>
      </w:r>
      <w:r>
        <w:rPr>
          <w:rFonts w:cs="黑体"/>
          <w:bCs/>
          <w:szCs w:val="21"/>
        </w:rPr>
        <w:t>；春</w:t>
      </w:r>
      <w:r>
        <w:rPr>
          <w:rFonts w:cs="黑体" w:hint="eastAsia"/>
          <w:bCs/>
          <w:szCs w:val="21"/>
        </w:rPr>
        <w:t>播</w:t>
      </w:r>
      <w:r>
        <w:rPr>
          <w:rFonts w:cs="黑体"/>
          <w:bCs/>
          <w:szCs w:val="21"/>
        </w:rPr>
        <w:t>3月</w:t>
      </w:r>
      <w:r>
        <w:rPr>
          <w:rFonts w:cs="黑体" w:hint="eastAsia"/>
          <w:bCs/>
          <w:szCs w:val="21"/>
        </w:rPr>
        <w:t>～</w:t>
      </w:r>
      <w:r>
        <w:rPr>
          <w:rFonts w:cs="黑体"/>
          <w:bCs/>
          <w:szCs w:val="21"/>
        </w:rPr>
        <w:t>5月，6</w:t>
      </w:r>
      <w:r>
        <w:rPr>
          <w:rFonts w:cs="黑体" w:hint="eastAsia"/>
          <w:bCs/>
          <w:szCs w:val="21"/>
        </w:rPr>
        <w:t>月～</w:t>
      </w:r>
      <w:r>
        <w:rPr>
          <w:rFonts w:cs="黑体"/>
          <w:bCs/>
          <w:szCs w:val="21"/>
        </w:rPr>
        <w:t>8</w:t>
      </w:r>
      <w:r>
        <w:rPr>
          <w:rFonts w:cs="黑体" w:hint="eastAsia"/>
          <w:bCs/>
          <w:szCs w:val="21"/>
        </w:rPr>
        <w:t>月采收</w:t>
      </w:r>
      <w:r>
        <w:rPr>
          <w:rFonts w:cs="黑体"/>
          <w:bCs/>
          <w:szCs w:val="21"/>
        </w:rPr>
        <w:t>。</w:t>
      </w:r>
      <w:r>
        <w:rPr>
          <w:rFonts w:cs="黑体" w:hint="eastAsia"/>
          <w:bCs/>
          <w:szCs w:val="21"/>
        </w:rPr>
        <w:t>收获后应及时清洁田园，将枯叶、病虫叶、杂草等集中进行无害化处理，保持田园清洁，减少病虫源。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10  生产废弃物处理</w:t>
      </w:r>
    </w:p>
    <w:p w:rsidR="00641D85" w:rsidRDefault="00311199">
      <w:pPr>
        <w:pStyle w:val="aa"/>
        <w:ind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>在生产基地内，建立废弃物与污染物收集设施，各种废弃物与污染物要分门别类收集。集中统一无害化处理。未发生病虫害的秸秆、落叶收割后直接还田，通过翻耕压入土壤中补充土壤有机质，培肥地力；人工摘除的发生病虫害的秸秆、落叶要及时专池处理。</w:t>
      </w:r>
    </w:p>
    <w:p w:rsidR="00641D85" w:rsidRDefault="00311199">
      <w:pPr>
        <w:pStyle w:val="aa"/>
        <w:ind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11 包装、贮藏和运输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11.1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包装</w:t>
      </w:r>
    </w:p>
    <w:p w:rsidR="00641D85" w:rsidRDefault="00311199">
      <w:pPr>
        <w:ind w:firstLineChars="200" w:firstLine="420"/>
        <w:rPr>
          <w:rFonts w:ascii="宋体"/>
        </w:rPr>
      </w:pPr>
      <w:r>
        <w:rPr>
          <w:rFonts w:ascii="宋体" w:cs="黑体" w:hint="eastAsia"/>
          <w:bCs/>
          <w:szCs w:val="21"/>
        </w:rPr>
        <w:t>采后剔除病虫、开裂、分叉肉质根，清洁分级包装；包装物应使用可重复利用、易降解、不造成产品污染的材料；</w:t>
      </w:r>
      <w:r>
        <w:rPr>
          <w:rFonts w:ascii="宋体" w:hint="eastAsia"/>
        </w:rPr>
        <w:t>包装上应标明产品名称、产品的标准编号、商标（如有）、标识、生产单位（或企业）名称、详细地址、产地、规格、净含量和包装日期等，标识上的字迹应清晰、完整、准确；</w:t>
      </w:r>
      <w:r>
        <w:rPr>
          <w:rFonts w:ascii="宋体" w:cs="黑体" w:hint="eastAsia"/>
          <w:bCs/>
          <w:szCs w:val="21"/>
        </w:rPr>
        <w:t>产品的包装上应规范使用绿色食品标志，包装应符合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NY/T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658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的要求。</w:t>
      </w:r>
    </w:p>
    <w:p w:rsidR="00641D85" w:rsidRDefault="00311199">
      <w:pPr>
        <w:pStyle w:val="aa"/>
        <w:ind w:firstLine="422"/>
        <w:rPr>
          <w:rFonts w:cs="黑体"/>
          <w:b/>
          <w:bCs/>
          <w:szCs w:val="21"/>
        </w:rPr>
      </w:pPr>
      <w:r>
        <w:rPr>
          <w:rFonts w:cs="黑体" w:hint="eastAsia"/>
          <w:b/>
          <w:bCs/>
          <w:szCs w:val="21"/>
        </w:rPr>
        <w:t xml:space="preserve">11.2 </w:t>
      </w:r>
      <w:r>
        <w:rPr>
          <w:rFonts w:cs="黑体" w:hint="eastAsia"/>
          <w:b/>
          <w:bCs/>
          <w:szCs w:val="21"/>
        </w:rPr>
        <w:t> </w:t>
      </w:r>
      <w:r>
        <w:rPr>
          <w:rFonts w:cs="黑体" w:hint="eastAsia"/>
          <w:b/>
          <w:bCs/>
          <w:szCs w:val="21"/>
        </w:rPr>
        <w:t>贮藏</w:t>
      </w:r>
    </w:p>
    <w:p w:rsidR="00641D85" w:rsidRDefault="00311199">
      <w:pPr>
        <w:ind w:firstLineChars="200" w:firstLine="420"/>
        <w:rPr>
          <w:rFonts w:ascii="宋体" w:cs="黑体"/>
          <w:bCs/>
          <w:szCs w:val="21"/>
        </w:rPr>
      </w:pPr>
      <w:r>
        <w:rPr>
          <w:rFonts w:ascii="宋体" w:cs="宋体" w:hint="eastAsia"/>
          <w:kern w:val="0"/>
          <w:szCs w:val="21"/>
          <w:shd w:val="clear" w:color="auto" w:fill="FFFFFF"/>
        </w:rPr>
        <w:t>贮</w:t>
      </w:r>
      <w:r>
        <w:rPr>
          <w:rFonts w:ascii="宋体" w:cs="黑体" w:hint="eastAsia"/>
          <w:bCs/>
          <w:szCs w:val="21"/>
        </w:rPr>
        <w:t>存场地要求清洁，防晒、防雨，不得与有害物品混存。采用冷藏室贮藏，适宜温度</w:t>
      </w:r>
    </w:p>
    <w:p w:rsidR="00641D85" w:rsidRDefault="00311199">
      <w:pPr>
        <w:rPr>
          <w:rFonts w:ascii="宋体" w:cs="黑体"/>
          <w:bCs/>
          <w:szCs w:val="21"/>
        </w:rPr>
      </w:pP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/>
          <w:bCs/>
          <w:szCs w:val="21"/>
        </w:rPr>
        <w:t>0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℃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～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5℃，空气相对湿度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9</w:t>
      </w:r>
      <w:r>
        <w:rPr>
          <w:rFonts w:ascii="宋体" w:cs="黑体"/>
          <w:bCs/>
          <w:szCs w:val="21"/>
        </w:rPr>
        <w:t>5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%</w:t>
      </w:r>
      <w:r w:rsidR="006C33FF">
        <w:rPr>
          <w:rFonts w:ascii="宋体" w:cs="黑体" w:hint="eastAsia"/>
          <w:bCs/>
          <w:szCs w:val="21"/>
        </w:rPr>
        <w:t>左右</w:t>
      </w:r>
      <w:r>
        <w:rPr>
          <w:rFonts w:ascii="宋体" w:cs="黑体" w:hint="eastAsia"/>
          <w:bCs/>
          <w:szCs w:val="21"/>
        </w:rPr>
        <w:t>，贮藏期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4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～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6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个月，保证冷藏室气流均匀流通；贮藏设施、周围环境、卫生要求、出入</w:t>
      </w:r>
      <w:bookmarkStart w:id="0" w:name="_GoBack"/>
      <w:bookmarkEnd w:id="0"/>
      <w:r>
        <w:rPr>
          <w:rFonts w:ascii="宋体" w:cs="黑体" w:hint="eastAsia"/>
          <w:bCs/>
          <w:szCs w:val="21"/>
        </w:rPr>
        <w:t>库、堆放等应符合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NY/T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1056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的要求。</w:t>
      </w:r>
    </w:p>
    <w:p w:rsidR="00641D85" w:rsidRDefault="00311199">
      <w:pPr>
        <w:ind w:firstLineChars="200" w:firstLine="422"/>
        <w:rPr>
          <w:rFonts w:ascii="宋体" w:cs="黑体"/>
          <w:b/>
          <w:bCs/>
          <w:szCs w:val="21"/>
        </w:rPr>
      </w:pPr>
      <w:r>
        <w:rPr>
          <w:rFonts w:ascii="宋体" w:cs="黑体" w:hint="eastAsia"/>
          <w:b/>
          <w:bCs/>
          <w:szCs w:val="21"/>
        </w:rPr>
        <w:t xml:space="preserve">11.3 </w:t>
      </w:r>
      <w:r>
        <w:rPr>
          <w:rFonts w:ascii="宋体" w:cs="黑体" w:hint="eastAsia"/>
          <w:b/>
          <w:bCs/>
          <w:szCs w:val="21"/>
        </w:rPr>
        <w:t> </w:t>
      </w:r>
      <w:r>
        <w:rPr>
          <w:rFonts w:ascii="宋体" w:cs="黑体" w:hint="eastAsia"/>
          <w:b/>
          <w:bCs/>
          <w:szCs w:val="21"/>
        </w:rPr>
        <w:t>运输</w:t>
      </w:r>
    </w:p>
    <w:p w:rsidR="00641D85" w:rsidRDefault="00311199">
      <w:pPr>
        <w:ind w:firstLineChars="200" w:firstLine="420"/>
        <w:rPr>
          <w:rFonts w:ascii="宋体" w:cs="黑体"/>
          <w:bCs/>
          <w:szCs w:val="21"/>
        </w:rPr>
      </w:pPr>
      <w:r>
        <w:rPr>
          <w:rFonts w:ascii="宋体" w:cs="黑体" w:hint="eastAsia"/>
          <w:bCs/>
          <w:szCs w:val="21"/>
        </w:rPr>
        <w:t>运输工具应清洁卫生，运输要求轻装轻卸、快装快运、装载适量、运行平稳、严防损伤；运输过程要通风散热，注意防冻、防晒、防雨淋，运输过程中要保持适当的温度和湿度，严禁与有害物品混装、混运。运输管理应符合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NY/T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1056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的要求。</w:t>
      </w:r>
    </w:p>
    <w:p w:rsidR="00641D85" w:rsidRDefault="00311199">
      <w:pPr>
        <w:ind w:firstLineChars="200" w:firstLine="482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 xml:space="preserve">12 </w:t>
      </w:r>
      <w:r>
        <w:rPr>
          <w:rFonts w:eastAsia="黑体" w:cs="黑体" w:hint="eastAsia"/>
          <w:b/>
          <w:bCs/>
          <w:sz w:val="24"/>
          <w:szCs w:val="24"/>
        </w:rPr>
        <w:t> </w:t>
      </w:r>
      <w:r>
        <w:rPr>
          <w:rFonts w:ascii="黑体" w:eastAsia="黑体" w:cs="黑体" w:hint="eastAsia"/>
          <w:b/>
          <w:bCs/>
          <w:sz w:val="24"/>
          <w:szCs w:val="24"/>
        </w:rPr>
        <w:t>质量追溯体系</w:t>
      </w:r>
    </w:p>
    <w:p w:rsidR="00641D85" w:rsidRDefault="00311199">
      <w:pPr>
        <w:ind w:firstLineChars="200" w:firstLine="420"/>
        <w:rPr>
          <w:rFonts w:ascii="宋体" w:cs="黑体"/>
          <w:bCs/>
          <w:szCs w:val="21"/>
        </w:rPr>
      </w:pPr>
      <w:r>
        <w:rPr>
          <w:rFonts w:ascii="宋体" w:cs="宋体" w:hint="eastAsia"/>
          <w:kern w:val="0"/>
          <w:szCs w:val="21"/>
          <w:shd w:val="clear" w:color="auto" w:fill="FFFFFF"/>
        </w:rPr>
        <w:t>建立绿色食品生产</w:t>
      </w:r>
      <w:r>
        <w:rPr>
          <w:rFonts w:ascii="宋体" w:cs="黑体" w:hint="eastAsia"/>
          <w:bCs/>
          <w:szCs w:val="21"/>
        </w:rPr>
        <w:t>记录</w:t>
      </w:r>
      <w:r>
        <w:rPr>
          <w:rFonts w:ascii="宋体" w:cs="宋体" w:hint="eastAsia"/>
          <w:kern w:val="0"/>
          <w:szCs w:val="21"/>
          <w:shd w:val="clear" w:color="auto" w:fill="FFFFFF"/>
        </w:rPr>
        <w:t>档案，专人负责管理，按照要求记录基地建立、</w:t>
      </w:r>
      <w:r>
        <w:rPr>
          <w:rFonts w:ascii="宋体" w:cs="黑体" w:hint="eastAsia"/>
          <w:bCs/>
          <w:szCs w:val="21"/>
        </w:rPr>
        <w:t>整地、品种选择及种苗处理、</w:t>
      </w:r>
      <w:r>
        <w:rPr>
          <w:rFonts w:ascii="宋体" w:cs="黑体" w:hint="eastAsia"/>
          <w:bCs/>
          <w:szCs w:val="21"/>
        </w:rPr>
        <w:t> </w:t>
      </w:r>
      <w:r>
        <w:rPr>
          <w:rFonts w:ascii="宋体" w:cs="黑体" w:hint="eastAsia"/>
          <w:bCs/>
          <w:szCs w:val="21"/>
        </w:rPr>
        <w:t>播种前田园管理、播种、</w:t>
      </w:r>
      <w:r>
        <w:rPr>
          <w:rFonts w:ascii="宋体" w:cs="宋体" w:hint="eastAsia"/>
          <w:kern w:val="0"/>
          <w:szCs w:val="21"/>
          <w:shd w:val="clear" w:color="auto" w:fill="FFFFFF"/>
        </w:rPr>
        <w:t>施肥、除草、灌溉</w:t>
      </w:r>
      <w:r>
        <w:rPr>
          <w:rFonts w:ascii="宋体" w:cs="黑体" w:hint="eastAsia"/>
          <w:bCs/>
          <w:szCs w:val="21"/>
        </w:rPr>
        <w:t>、病虫草害</w:t>
      </w:r>
      <w:r>
        <w:rPr>
          <w:rFonts w:ascii="宋体" w:cs="黑体"/>
          <w:bCs/>
          <w:szCs w:val="21"/>
        </w:rPr>
        <w:t>发生和</w:t>
      </w:r>
      <w:r>
        <w:rPr>
          <w:rFonts w:ascii="宋体" w:cs="黑体" w:hint="eastAsia"/>
          <w:bCs/>
          <w:szCs w:val="21"/>
        </w:rPr>
        <w:t>防治、收获、</w:t>
      </w:r>
      <w:r>
        <w:rPr>
          <w:rFonts w:ascii="宋体" w:cs="黑体" w:hint="eastAsia"/>
          <w:bCs/>
          <w:szCs w:val="21"/>
        </w:rPr>
        <w:lastRenderedPageBreak/>
        <w:t>生产废弃物处理、包装、贮藏、运输</w:t>
      </w:r>
      <w:r>
        <w:rPr>
          <w:rFonts w:ascii="宋体" w:cs="宋体" w:hint="eastAsia"/>
          <w:kern w:val="0"/>
          <w:szCs w:val="21"/>
          <w:shd w:val="clear" w:color="auto" w:fill="FFFFFF"/>
        </w:rPr>
        <w:t>、销售等，同时建立投入品出入库管理制度、质量卫生管理制度等，实行绿色食品生产全程质量追溯体系。绿色食品</w:t>
      </w:r>
      <w:r>
        <w:rPr>
          <w:rFonts w:ascii="宋体" w:cs="黑体" w:hint="eastAsia"/>
          <w:bCs/>
          <w:szCs w:val="21"/>
        </w:rPr>
        <w:t>生产记录档案保存3年以上。</w:t>
      </w:r>
    </w:p>
    <w:p w:rsidR="00641D85" w:rsidRDefault="00641D85">
      <w:pPr>
        <w:ind w:firstLineChars="200" w:firstLine="420"/>
        <w:rPr>
          <w:rFonts w:ascii="宋体" w:cs="黑体"/>
          <w:bCs/>
          <w:szCs w:val="21"/>
        </w:rPr>
      </w:pPr>
    </w:p>
    <w:p w:rsidR="00641D85" w:rsidRDefault="00311199">
      <w:pPr>
        <w:ind w:firstLineChars="200" w:firstLine="420"/>
        <w:rPr>
          <w:rFonts w:cs="黑体"/>
          <w:bCs/>
          <w:szCs w:val="21"/>
        </w:rPr>
      </w:pPr>
      <w:r>
        <w:rPr>
          <w:rFonts w:cs="黑体" w:hint="eastAsia"/>
          <w:bCs/>
          <w:szCs w:val="21"/>
        </w:rPr>
        <w:t xml:space="preserve"> </w:t>
      </w:r>
    </w:p>
    <w:p w:rsidR="00641D85" w:rsidRDefault="00641D85">
      <w:pPr>
        <w:pStyle w:val="HTML"/>
        <w:jc w:val="center"/>
        <w:rPr>
          <w:b/>
          <w:szCs w:val="21"/>
        </w:rPr>
      </w:pPr>
    </w:p>
    <w:p w:rsidR="00641D85" w:rsidRDefault="00641D85">
      <w:pPr>
        <w:pStyle w:val="HTML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pStyle w:val="HTML"/>
        <w:spacing w:line="360" w:lineRule="auto"/>
        <w:jc w:val="center"/>
        <w:rPr>
          <w:b/>
          <w:szCs w:val="21"/>
        </w:rPr>
      </w:pPr>
    </w:p>
    <w:p w:rsidR="00641D85" w:rsidRDefault="00641D85">
      <w:pPr>
        <w:ind w:firstLine="648"/>
        <w:jc w:val="left"/>
        <w:rPr>
          <w:rFonts w:ascii="黑体" w:eastAsia="黑体"/>
          <w:sz w:val="32"/>
          <w:szCs w:val="32"/>
        </w:rPr>
      </w:pPr>
    </w:p>
    <w:p w:rsidR="00641D85" w:rsidRDefault="00641D85">
      <w:pPr>
        <w:ind w:firstLine="648"/>
        <w:jc w:val="left"/>
        <w:rPr>
          <w:rFonts w:ascii="黑体" w:eastAsia="黑体"/>
          <w:sz w:val="32"/>
          <w:szCs w:val="32"/>
        </w:rPr>
      </w:pPr>
    </w:p>
    <w:p w:rsidR="00641D85" w:rsidRDefault="00641D85">
      <w:pPr>
        <w:ind w:firstLine="648"/>
        <w:jc w:val="left"/>
        <w:rPr>
          <w:rFonts w:ascii="黑体" w:eastAsia="黑体"/>
          <w:sz w:val="32"/>
          <w:szCs w:val="32"/>
        </w:rPr>
      </w:pPr>
    </w:p>
    <w:p w:rsidR="00641D85" w:rsidRDefault="00641D85">
      <w:pPr>
        <w:ind w:firstLine="648"/>
        <w:jc w:val="left"/>
        <w:rPr>
          <w:rFonts w:ascii="黑体" w:eastAsia="黑体"/>
          <w:sz w:val="32"/>
          <w:szCs w:val="32"/>
        </w:rPr>
      </w:pPr>
    </w:p>
    <w:p w:rsidR="00641D85" w:rsidRDefault="00641D85">
      <w:pPr>
        <w:ind w:firstLine="648"/>
        <w:jc w:val="left"/>
        <w:rPr>
          <w:rFonts w:ascii="黑体" w:eastAsia="黑体"/>
          <w:sz w:val="32"/>
          <w:szCs w:val="32"/>
        </w:rPr>
      </w:pPr>
    </w:p>
    <w:p w:rsidR="00641D85" w:rsidRDefault="00311199">
      <w:pPr>
        <w:pStyle w:val="HTML"/>
        <w:spacing w:line="36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附录</w:t>
      </w:r>
      <w:r>
        <w:rPr>
          <w:rFonts w:hint="eastAsia"/>
          <w:b/>
          <w:szCs w:val="21"/>
        </w:rPr>
        <w:t xml:space="preserve">A </w:t>
      </w:r>
    </w:p>
    <w:p w:rsidR="00641D85" w:rsidRDefault="00311199">
      <w:pPr>
        <w:pStyle w:val="HTML"/>
        <w:spacing w:line="360" w:lineRule="auto"/>
        <w:jc w:val="center"/>
        <w:rPr>
          <w:rFonts w:cs="宋体"/>
          <w:b/>
          <w:szCs w:val="21"/>
        </w:rPr>
      </w:pPr>
      <w:r>
        <w:rPr>
          <w:rFonts w:hint="eastAsia"/>
          <w:b/>
          <w:szCs w:val="21"/>
        </w:rPr>
        <w:t>（资料性附录）</w:t>
      </w:r>
    </w:p>
    <w:p w:rsidR="00641D85" w:rsidRDefault="00311199">
      <w:pPr>
        <w:pStyle w:val="HTML"/>
        <w:spacing w:line="360" w:lineRule="auto"/>
        <w:jc w:val="center"/>
        <w:rPr>
          <w:rFonts w:cs="宋体"/>
          <w:b/>
          <w:szCs w:val="21"/>
        </w:rPr>
      </w:pPr>
      <w:r>
        <w:rPr>
          <w:rFonts w:cs="宋体"/>
          <w:b/>
          <w:szCs w:val="21"/>
        </w:rPr>
        <w:t>华南西</w:t>
      </w:r>
      <w:r>
        <w:rPr>
          <w:rFonts w:cs="宋体" w:hint="eastAsia"/>
          <w:b/>
          <w:szCs w:val="21"/>
        </w:rPr>
        <w:t>南地区</w:t>
      </w:r>
      <w:r w:rsidR="00A863BF">
        <w:rPr>
          <w:rFonts w:cs="宋体" w:hint="eastAsia"/>
          <w:b/>
          <w:szCs w:val="21"/>
        </w:rPr>
        <w:t xml:space="preserve">  </w:t>
      </w:r>
      <w:r>
        <w:rPr>
          <w:rFonts w:cs="宋体" w:hint="eastAsia"/>
          <w:b/>
          <w:szCs w:val="21"/>
        </w:rPr>
        <w:t>绿色食品</w:t>
      </w:r>
      <w:r>
        <w:rPr>
          <w:rFonts w:cs="宋体"/>
          <w:b/>
          <w:szCs w:val="21"/>
        </w:rPr>
        <w:t>胡萝卜</w:t>
      </w:r>
      <w:r>
        <w:rPr>
          <w:rFonts w:cs="宋体" w:hint="eastAsia"/>
          <w:b/>
          <w:szCs w:val="21"/>
        </w:rPr>
        <w:t>主要病虫害推荐</w:t>
      </w:r>
      <w:r>
        <w:rPr>
          <w:rFonts w:hint="eastAsia"/>
          <w:b/>
          <w:szCs w:val="21"/>
        </w:rPr>
        <w:t>农药使用</w:t>
      </w:r>
      <w:r>
        <w:rPr>
          <w:rFonts w:cs="宋体" w:hint="eastAsia"/>
          <w:b/>
          <w:szCs w:val="21"/>
        </w:rPr>
        <w:t>方案</w:t>
      </w:r>
    </w:p>
    <w:p w:rsidR="00641D85" w:rsidRDefault="00641D85">
      <w:pPr>
        <w:pStyle w:val="HTML"/>
        <w:spacing w:line="360" w:lineRule="auto"/>
        <w:jc w:val="center"/>
        <w:rPr>
          <w:rFonts w:cs="宋体"/>
          <w:b/>
          <w:szCs w:val="21"/>
        </w:rPr>
      </w:pP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5"/>
        <w:gridCol w:w="1155"/>
        <w:gridCol w:w="2835"/>
        <w:gridCol w:w="1890"/>
        <w:gridCol w:w="840"/>
        <w:gridCol w:w="1061"/>
      </w:tblGrid>
      <w:tr w:rsidR="00BA3FBD" w:rsidTr="00480BF6">
        <w:trPr>
          <w:trHeight w:val="454"/>
          <w:jc w:val="center"/>
        </w:trPr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防治对象</w:t>
            </w:r>
          </w:p>
        </w:tc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防治时期</w:t>
            </w:r>
          </w:p>
        </w:tc>
        <w:tc>
          <w:tcPr>
            <w:tcW w:w="283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农药名称</w:t>
            </w:r>
          </w:p>
        </w:tc>
        <w:tc>
          <w:tcPr>
            <w:tcW w:w="189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使用量</w:t>
            </w:r>
          </w:p>
        </w:tc>
        <w:tc>
          <w:tcPr>
            <w:tcW w:w="84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使用</w:t>
            </w:r>
            <w:r>
              <w:rPr>
                <w:rFonts w:ascii="宋体" w:hint="eastAsia"/>
                <w:kern w:val="0"/>
                <w:szCs w:val="21"/>
              </w:rPr>
              <w:lastRenderedPageBreak/>
              <w:t>方法</w:t>
            </w:r>
          </w:p>
        </w:tc>
        <w:tc>
          <w:tcPr>
            <w:tcW w:w="1061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lastRenderedPageBreak/>
              <w:t>安全间隔</w:t>
            </w:r>
            <w:r>
              <w:rPr>
                <w:rFonts w:ascii="宋体" w:hint="eastAsia"/>
                <w:kern w:val="0"/>
                <w:szCs w:val="21"/>
              </w:rPr>
              <w:lastRenderedPageBreak/>
              <w:t>期,d</w:t>
            </w:r>
          </w:p>
        </w:tc>
      </w:tr>
      <w:tr w:rsidR="00BA3FBD" w:rsidTr="00480BF6">
        <w:trPr>
          <w:trHeight w:val="453"/>
          <w:jc w:val="center"/>
        </w:trPr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szCs w:val="21"/>
              </w:rPr>
              <w:lastRenderedPageBreak/>
              <w:t>蛴螬等地下害虫</w:t>
            </w:r>
          </w:p>
        </w:tc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播种前</w:t>
            </w:r>
          </w:p>
        </w:tc>
        <w:tc>
          <w:tcPr>
            <w:tcW w:w="2835" w:type="dxa"/>
            <w:vAlign w:val="center"/>
          </w:tcPr>
          <w:p w:rsidR="00BA3FBD" w:rsidRDefault="00BA3FBD" w:rsidP="00480BF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3%辛硫磷颗粒剂</w:t>
            </w:r>
          </w:p>
        </w:tc>
        <w:tc>
          <w:tcPr>
            <w:tcW w:w="1890" w:type="dxa"/>
            <w:vAlign w:val="center"/>
          </w:tcPr>
          <w:p w:rsidR="00BA3FBD" w:rsidRDefault="00BA3FBD" w:rsidP="00480BF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4000</w:t>
            </w:r>
            <w:r>
              <w:rPr>
                <w:rFonts w:ascii="宋体" w:cs="黑体" w:hint="eastAsia"/>
                <w:szCs w:val="21"/>
              </w:rPr>
              <w:t>～</w:t>
            </w:r>
            <w:r>
              <w:rPr>
                <w:rFonts w:ascii="宋体" w:hint="eastAsia"/>
                <w:szCs w:val="21"/>
              </w:rPr>
              <w:t>8333g/亩</w:t>
            </w:r>
          </w:p>
        </w:tc>
        <w:tc>
          <w:tcPr>
            <w:tcW w:w="84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szCs w:val="21"/>
              </w:rPr>
              <w:t>沟施</w:t>
            </w:r>
          </w:p>
        </w:tc>
        <w:tc>
          <w:tcPr>
            <w:tcW w:w="1061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40</w:t>
            </w:r>
          </w:p>
        </w:tc>
      </w:tr>
      <w:tr w:rsidR="00BA3FBD" w:rsidTr="00480BF6">
        <w:trPr>
          <w:trHeight w:val="453"/>
          <w:jc w:val="center"/>
        </w:trPr>
        <w:tc>
          <w:tcPr>
            <w:tcW w:w="1155" w:type="dxa"/>
            <w:vMerge w:val="restart"/>
            <w:vAlign w:val="center"/>
          </w:tcPr>
          <w:p w:rsidR="00BA3FBD" w:rsidRDefault="00BA3FBD" w:rsidP="005C48D9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蚜虫</w:t>
            </w:r>
            <w:r w:rsidR="005C48D9">
              <w:rPr>
                <w:rFonts w:ascii="宋体" w:hAnsi="宋体" w:hint="eastAsia"/>
                <w:kern w:val="0"/>
                <w:szCs w:val="21"/>
              </w:rPr>
              <w:t>、菜青虫、小菜蛾等虫害</w:t>
            </w:r>
          </w:p>
        </w:tc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卵孵盛期至低龄幼虫期</w:t>
            </w:r>
          </w:p>
        </w:tc>
        <w:tc>
          <w:tcPr>
            <w:tcW w:w="283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8000IU/</w:t>
            </w:r>
            <w:r>
              <w:rPr>
                <w:rFonts w:ascii="宋体" w:hAnsi="宋体" w:hint="eastAsia"/>
                <w:kern w:val="0"/>
                <w:szCs w:val="21"/>
              </w:rPr>
              <w:t>毫克苏云金杆菌可湿性粉剂</w:t>
            </w:r>
          </w:p>
        </w:tc>
        <w:tc>
          <w:tcPr>
            <w:tcW w:w="1890" w:type="dxa"/>
            <w:vAlign w:val="center"/>
          </w:tcPr>
          <w:p w:rsidR="00BA3FBD" w:rsidRDefault="001844BE" w:rsidP="001844BE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50</w:t>
            </w:r>
            <w:r w:rsidR="00BA3FBD">
              <w:rPr>
                <w:rFonts w:ascii="宋体" w:hAnsi="宋体" w:hint="eastAsia"/>
                <w:kern w:val="0"/>
                <w:szCs w:val="21"/>
              </w:rPr>
              <w:t>～</w:t>
            </w:r>
            <w:r w:rsidR="00BA3FBD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00g</w:t>
            </w:r>
            <w:r w:rsidR="00BA3FBD">
              <w:rPr>
                <w:rFonts w:ascii="宋体" w:hAnsi="宋体"/>
                <w:kern w:val="0"/>
                <w:szCs w:val="21"/>
              </w:rPr>
              <w:t>/</w:t>
            </w:r>
            <w:r w:rsidR="00BA3FBD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84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061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/</w:t>
            </w:r>
          </w:p>
        </w:tc>
      </w:tr>
      <w:tr w:rsidR="00BA3FBD" w:rsidTr="00480BF6">
        <w:trPr>
          <w:trHeight w:val="453"/>
          <w:jc w:val="center"/>
        </w:trPr>
        <w:tc>
          <w:tcPr>
            <w:tcW w:w="1155" w:type="dxa"/>
            <w:vMerge/>
            <w:vAlign w:val="center"/>
          </w:tcPr>
          <w:p w:rsidR="00BA3FBD" w:rsidRDefault="00BA3FBD" w:rsidP="00480BF6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A3FBD" w:rsidRDefault="00BA3FBD" w:rsidP="00787983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菜青虫</w:t>
            </w:r>
          </w:p>
        </w:tc>
        <w:tc>
          <w:tcPr>
            <w:tcW w:w="283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40%</w:t>
            </w:r>
            <w:r>
              <w:rPr>
                <w:rFonts w:ascii="宋体" w:hAnsi="宋体" w:hint="eastAsia"/>
                <w:kern w:val="0"/>
                <w:szCs w:val="21"/>
              </w:rPr>
              <w:t>辛硫磷乳油</w:t>
            </w:r>
          </w:p>
        </w:tc>
        <w:tc>
          <w:tcPr>
            <w:tcW w:w="189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75～100毫升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84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061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</w:tr>
      <w:tr w:rsidR="00BA3FBD" w:rsidTr="00480BF6">
        <w:trPr>
          <w:trHeight w:val="453"/>
          <w:jc w:val="center"/>
        </w:trPr>
        <w:tc>
          <w:tcPr>
            <w:tcW w:w="1155" w:type="dxa"/>
            <w:vMerge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蚜虫始盛期</w:t>
            </w:r>
          </w:p>
        </w:tc>
        <w:tc>
          <w:tcPr>
            <w:tcW w:w="2835" w:type="dxa"/>
            <w:vAlign w:val="center"/>
          </w:tcPr>
          <w:p w:rsidR="00BA3FBD" w:rsidRDefault="00F30B35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BA3FBD">
              <w:rPr>
                <w:rFonts w:ascii="宋体" w:hAnsi="宋体" w:hint="eastAsia"/>
                <w:kern w:val="0"/>
                <w:szCs w:val="21"/>
              </w:rPr>
              <w:t>0</w:t>
            </w:r>
            <w:r w:rsidR="00BA3FBD">
              <w:rPr>
                <w:rFonts w:ascii="宋体" w:hAnsi="宋体"/>
                <w:kern w:val="0"/>
                <w:szCs w:val="21"/>
              </w:rPr>
              <w:t>%</w:t>
            </w:r>
            <w:r w:rsidR="00BA3FBD">
              <w:rPr>
                <w:rFonts w:ascii="宋体" w:hAnsi="宋体" w:hint="eastAsia"/>
                <w:kern w:val="0"/>
                <w:szCs w:val="21"/>
              </w:rPr>
              <w:t>吡虫啉水分散粒剂</w:t>
            </w:r>
          </w:p>
        </w:tc>
        <w:tc>
          <w:tcPr>
            <w:tcW w:w="1890" w:type="dxa"/>
            <w:vAlign w:val="center"/>
          </w:tcPr>
          <w:p w:rsidR="00BA3FBD" w:rsidRDefault="00F30B35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  <w:r w:rsidR="00BA3FBD">
              <w:rPr>
                <w:rFonts w:ascii="宋体" w:hAnsi="宋体" w:hint="eastAsia"/>
                <w:kern w:val="0"/>
                <w:szCs w:val="21"/>
              </w:rPr>
              <w:t>克</w:t>
            </w:r>
            <w:r w:rsidR="00BA3FBD">
              <w:rPr>
                <w:rFonts w:ascii="宋体" w:hAnsi="宋体"/>
                <w:kern w:val="0"/>
                <w:szCs w:val="21"/>
              </w:rPr>
              <w:t>/</w:t>
            </w:r>
            <w:r w:rsidR="00BA3FBD">
              <w:rPr>
                <w:rFonts w:ascii="宋体" w:hAnsi="宋体" w:hint="eastAsia"/>
                <w:kern w:val="0"/>
                <w:szCs w:val="21"/>
              </w:rPr>
              <w:t>亩</w:t>
            </w:r>
          </w:p>
        </w:tc>
        <w:tc>
          <w:tcPr>
            <w:tcW w:w="84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061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</w:p>
        </w:tc>
      </w:tr>
      <w:tr w:rsidR="00BA3FBD" w:rsidTr="00480BF6">
        <w:trPr>
          <w:trHeight w:val="452"/>
          <w:jc w:val="center"/>
        </w:trPr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霜霉病、锈病、菌核病</w:t>
            </w:r>
            <w:r>
              <w:rPr>
                <w:rFonts w:ascii="微软雅黑" w:hAnsi="微软雅黑"/>
                <w:szCs w:val="21"/>
              </w:rPr>
              <w:t>、黑斑病等多种病害</w:t>
            </w:r>
          </w:p>
        </w:tc>
        <w:tc>
          <w:tcPr>
            <w:tcW w:w="1155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szCs w:val="21"/>
              </w:rPr>
              <w:t>发病初期</w:t>
            </w:r>
          </w:p>
        </w:tc>
        <w:tc>
          <w:tcPr>
            <w:tcW w:w="2835" w:type="dxa"/>
            <w:vAlign w:val="center"/>
          </w:tcPr>
          <w:p w:rsidR="00BA3FBD" w:rsidRDefault="00BA3FBD" w:rsidP="00480BF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80%代森锌</w:t>
            </w:r>
            <w:r>
              <w:rPr>
                <w:rFonts w:ascii="Helvetica" w:hAnsi="Helvetica"/>
                <w:sz w:val="18"/>
                <w:szCs w:val="18"/>
                <w:shd w:val="clear" w:color="auto" w:fill="FFFFFF"/>
              </w:rPr>
              <w:t>可湿性粉剂</w:t>
            </w:r>
          </w:p>
        </w:tc>
        <w:tc>
          <w:tcPr>
            <w:tcW w:w="1890" w:type="dxa"/>
            <w:vAlign w:val="center"/>
          </w:tcPr>
          <w:p w:rsidR="00BA3FBD" w:rsidRDefault="00BA3FBD" w:rsidP="00480BF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80</w:t>
            </w:r>
            <w:r>
              <w:rPr>
                <w:rFonts w:ascii="宋体" w:cs="黑体" w:hint="eastAsia"/>
                <w:szCs w:val="21"/>
              </w:rPr>
              <w:t>～</w:t>
            </w:r>
            <w:r>
              <w:rPr>
                <w:rFonts w:ascii="宋体"/>
                <w:szCs w:val="21"/>
              </w:rPr>
              <w:t>100</w:t>
            </w:r>
            <w:r>
              <w:rPr>
                <w:rFonts w:ascii="宋体" w:hint="eastAsia"/>
                <w:szCs w:val="21"/>
              </w:rPr>
              <w:t>g/亩</w:t>
            </w:r>
          </w:p>
        </w:tc>
        <w:tc>
          <w:tcPr>
            <w:tcW w:w="840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Helvetica" w:hAnsi="Helvetica"/>
                <w:sz w:val="18"/>
                <w:szCs w:val="18"/>
                <w:shd w:val="clear" w:color="auto" w:fill="FFFFFF"/>
              </w:rPr>
              <w:t>喷雾</w:t>
            </w:r>
          </w:p>
        </w:tc>
        <w:tc>
          <w:tcPr>
            <w:tcW w:w="1061" w:type="dxa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21</w:t>
            </w:r>
          </w:p>
        </w:tc>
      </w:tr>
      <w:tr w:rsidR="00BA3FBD" w:rsidTr="00480BF6">
        <w:trPr>
          <w:trHeight w:val="453"/>
          <w:jc w:val="center"/>
        </w:trPr>
        <w:tc>
          <w:tcPr>
            <w:tcW w:w="8936" w:type="dxa"/>
            <w:gridSpan w:val="6"/>
            <w:vAlign w:val="center"/>
          </w:tcPr>
          <w:p w:rsidR="00BA3FBD" w:rsidRDefault="00BA3FBD" w:rsidP="00480BF6">
            <w:pPr>
              <w:widowControl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注：农药使用应以最新版本</w:t>
            </w:r>
            <w:r>
              <w:rPr>
                <w:rFonts w:ascii="Times New Roman" w:hAnsi="Times New Roman"/>
                <w:kern w:val="0"/>
                <w:szCs w:val="21"/>
              </w:rPr>
              <w:t>NY/T 393</w:t>
            </w:r>
            <w:r>
              <w:rPr>
                <w:rFonts w:ascii="Times New Roman" w:hAnsi="Times New Roman"/>
                <w:kern w:val="0"/>
                <w:szCs w:val="21"/>
              </w:rPr>
              <w:t>的规定为准。</w:t>
            </w:r>
          </w:p>
        </w:tc>
      </w:tr>
    </w:tbl>
    <w:p w:rsidR="00641D85" w:rsidRDefault="00641D85"/>
    <w:p w:rsidR="00641D85" w:rsidRDefault="00641D85"/>
    <w:p w:rsidR="00641D85" w:rsidRDefault="00641D85"/>
    <w:p w:rsidR="00641D85" w:rsidRDefault="00641D85"/>
    <w:p w:rsidR="00641D85" w:rsidRDefault="00641D85"/>
    <w:p w:rsidR="00641D85" w:rsidRDefault="00641D85"/>
    <w:p w:rsidR="00641D85" w:rsidRDefault="00641D85"/>
    <w:p w:rsidR="00641D85" w:rsidRDefault="00641D85"/>
    <w:p w:rsidR="00641D85" w:rsidRDefault="00641D85"/>
    <w:sectPr w:rsidR="00641D85" w:rsidSect="003546F9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707D6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87C" w:rsidRDefault="00C2087C">
      <w:r>
        <w:separator/>
      </w:r>
    </w:p>
  </w:endnote>
  <w:endnote w:type="continuationSeparator" w:id="1">
    <w:p w:rsidR="00C2087C" w:rsidRDefault="00C20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D85" w:rsidRDefault="0062508A">
    <w:pPr>
      <w:pStyle w:val="a7"/>
      <w:jc w:val="center"/>
    </w:pPr>
    <w:r>
      <w:rPr>
        <w:rFonts w:ascii="Times New Roman" w:hAnsi="Times New Roman"/>
      </w:rPr>
      <w:fldChar w:fldCharType="begin"/>
    </w:r>
    <w:r w:rsidR="00311199"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CB3EE4" w:rsidRPr="00CB3EE4">
      <w:rPr>
        <w:rFonts w:ascii="Times New Roman" w:hAnsi="Times New Roman"/>
        <w:noProof/>
        <w:lang w:val="zh-CN"/>
      </w:rPr>
      <w:t>7</w:t>
    </w:r>
    <w:r>
      <w:rPr>
        <w:rFonts w:ascii="Times New Roman" w:hAnsi="Times New Roman"/>
      </w:rPr>
      <w:fldChar w:fldCharType="end"/>
    </w:r>
  </w:p>
  <w:p w:rsidR="00641D85" w:rsidRDefault="00641D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87C" w:rsidRDefault="00C2087C">
      <w:r>
        <w:separator/>
      </w:r>
    </w:p>
  </w:footnote>
  <w:footnote w:type="continuationSeparator" w:id="1">
    <w:p w:rsidR="00C2087C" w:rsidRDefault="00C208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0F5AE"/>
    <w:multiLevelType w:val="multilevel"/>
    <w:tmpl w:val="6A7F13AB"/>
    <w:lvl w:ilvl="0">
      <w:start w:val="1"/>
      <w:numFmt w:val="decimal"/>
      <w:lvlRestart w:val="0"/>
      <w:pStyle w:val="a"/>
      <w:suff w:val="nothing"/>
      <w:lvlText w:val="%1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.%2.%3.%4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num" w:pos="0"/>
        </w:tabs>
        <w:ind w:left="0" w:firstLine="0"/>
      </w:pPr>
      <w:rPr>
        <w:rFonts w:ascii="黑体" w:eastAsia="黑体" w:hAnsi="黑体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77" w:hanging="1700"/>
      </w:pPr>
      <w:rPr>
        <w:rFonts w:cs="Times New Roman" w:hint="eastAsia"/>
      </w:rPr>
    </w:lvl>
  </w:abstractNum>
  <w:abstractNum w:abstractNumId="1">
    <w:nsid w:val="1A34BA69"/>
    <w:multiLevelType w:val="multilevel"/>
    <w:tmpl w:val="1A34BA69"/>
    <w:lvl w:ilvl="0">
      <w:start w:val="3"/>
      <w:numFmt w:val="decimal"/>
      <w:lvlRestart w:val="0"/>
      <w:lvlText w:val="%1"/>
      <w:lvlJc w:val="left"/>
      <w:pPr>
        <w:tabs>
          <w:tab w:val="num" w:pos="0"/>
        </w:tabs>
        <w:ind w:left="531" w:hanging="531"/>
      </w:pPr>
    </w:lvl>
    <w:lvl w:ilvl="1">
      <w:start w:val="3"/>
      <w:numFmt w:val="decimal"/>
      <w:lvlRestart w:val="0"/>
      <w:lvlText w:val="%1.%2"/>
      <w:lvlJc w:val="left"/>
      <w:pPr>
        <w:tabs>
          <w:tab w:val="num" w:pos="0"/>
        </w:tabs>
        <w:ind w:left="951" w:hanging="531"/>
      </w:pPr>
    </w:lvl>
    <w:lvl w:ilvl="2">
      <w:start w:val="1"/>
      <w:numFmt w:val="decimal"/>
      <w:lvlRestart w:val="0"/>
      <w:lvlText w:val="%1.%2.%3"/>
      <w:lvlJc w:val="left"/>
      <w:pPr>
        <w:tabs>
          <w:tab w:val="num" w:pos="0"/>
        </w:tabs>
        <w:ind w:left="1371" w:hanging="531"/>
      </w:pPr>
    </w:lvl>
    <w:lvl w:ilvl="3">
      <w:start w:val="1"/>
      <w:numFmt w:val="decimal"/>
      <w:lvlRestart w:val="0"/>
      <w:lvlText w:val="%1.%2.%3.%4"/>
      <w:lvlJc w:val="left"/>
      <w:pPr>
        <w:tabs>
          <w:tab w:val="num" w:pos="0"/>
        </w:tabs>
        <w:ind w:left="1791" w:hanging="531"/>
      </w:pPr>
    </w:lvl>
    <w:lvl w:ilvl="4">
      <w:start w:val="1"/>
      <w:numFmt w:val="decimal"/>
      <w:lvlRestart w:val="0"/>
      <w:lvlText w:val="%1.%2.%3.%4.%5"/>
      <w:lvlJc w:val="left"/>
      <w:pPr>
        <w:tabs>
          <w:tab w:val="num" w:pos="0"/>
        </w:tabs>
        <w:ind w:left="2565" w:hanging="885"/>
      </w:pPr>
    </w:lvl>
    <w:lvl w:ilvl="5">
      <w:start w:val="1"/>
      <w:numFmt w:val="decimal"/>
      <w:lvlRestart w:val="0"/>
      <w:lvlText w:val="%1.%2.%3.%4.%5.%6"/>
      <w:lvlJc w:val="left"/>
      <w:pPr>
        <w:tabs>
          <w:tab w:val="num" w:pos="0"/>
        </w:tabs>
        <w:ind w:left="2985" w:hanging="885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0"/>
        </w:tabs>
        <w:ind w:left="3759" w:hanging="1239"/>
      </w:pPr>
    </w:lvl>
    <w:lvl w:ilvl="7">
      <w:start w:val="1"/>
      <w:numFmt w:val="decimal"/>
      <w:lvlRestart w:val="0"/>
      <w:lvlText w:val="%1.%2.%3.%4.%5.%6.%7.%8"/>
      <w:lvlJc w:val="left"/>
      <w:pPr>
        <w:tabs>
          <w:tab w:val="num" w:pos="0"/>
        </w:tabs>
        <w:ind w:left="4179" w:hanging="1239"/>
      </w:pPr>
    </w:lvl>
    <w:lvl w:ilvl="8">
      <w:start w:val="1"/>
      <w:numFmt w:val="decimal"/>
      <w:lvlRestart w:val="0"/>
      <w:lvlText w:val="%1.%2.%3.%4.%5.%6.%7.%8.%9"/>
      <w:lvlJc w:val="left"/>
      <w:pPr>
        <w:tabs>
          <w:tab w:val="num" w:pos="0"/>
        </w:tabs>
        <w:ind w:left="4953" w:hanging="1593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641D85"/>
    <w:rsid w:val="000C0384"/>
    <w:rsid w:val="001844BE"/>
    <w:rsid w:val="002946C4"/>
    <w:rsid w:val="002B7239"/>
    <w:rsid w:val="002C323C"/>
    <w:rsid w:val="002C5446"/>
    <w:rsid w:val="00311199"/>
    <w:rsid w:val="003546F9"/>
    <w:rsid w:val="00406400"/>
    <w:rsid w:val="0056424F"/>
    <w:rsid w:val="005C48D9"/>
    <w:rsid w:val="0062508A"/>
    <w:rsid w:val="00641D85"/>
    <w:rsid w:val="00684EAA"/>
    <w:rsid w:val="006C33FF"/>
    <w:rsid w:val="00787983"/>
    <w:rsid w:val="007B5079"/>
    <w:rsid w:val="00846C7B"/>
    <w:rsid w:val="00A863BF"/>
    <w:rsid w:val="00BA3FBD"/>
    <w:rsid w:val="00C2087C"/>
    <w:rsid w:val="00C742AC"/>
    <w:rsid w:val="00CB3EE4"/>
    <w:rsid w:val="00E237A3"/>
    <w:rsid w:val="00E242A2"/>
    <w:rsid w:val="00F30B35"/>
    <w:rsid w:val="00F3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3546F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1"/>
    <w:next w:val="a1"/>
    <w:rsid w:val="003546F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1"/>
    <w:next w:val="a1"/>
    <w:rsid w:val="003546F9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1"/>
    <w:next w:val="a1"/>
    <w:rsid w:val="003546F9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7">
    <w:name w:val="toc 7"/>
    <w:basedOn w:val="a1"/>
    <w:next w:val="a1"/>
    <w:rsid w:val="003546F9"/>
    <w:pPr>
      <w:ind w:left="2520"/>
    </w:pPr>
  </w:style>
  <w:style w:type="paragraph" w:styleId="a5">
    <w:name w:val="annotation text"/>
    <w:basedOn w:val="a1"/>
    <w:link w:val="Char"/>
    <w:rsid w:val="003546F9"/>
    <w:pPr>
      <w:jc w:val="left"/>
    </w:pPr>
  </w:style>
  <w:style w:type="paragraph" w:styleId="a6">
    <w:name w:val="Balloon Text"/>
    <w:basedOn w:val="a1"/>
    <w:rsid w:val="003546F9"/>
    <w:rPr>
      <w:sz w:val="18"/>
      <w:szCs w:val="18"/>
    </w:rPr>
  </w:style>
  <w:style w:type="paragraph" w:styleId="a7">
    <w:name w:val="footer"/>
    <w:rsid w:val="003546F9"/>
    <w:pPr>
      <w:widowControl w:val="0"/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  <w:szCs w:val="18"/>
    </w:rPr>
  </w:style>
  <w:style w:type="paragraph" w:styleId="a8">
    <w:name w:val="header"/>
    <w:basedOn w:val="a1"/>
    <w:rsid w:val="00354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index heading"/>
    <w:basedOn w:val="a1"/>
    <w:next w:val="10"/>
    <w:rsid w:val="003546F9"/>
    <w:rPr>
      <w:rFonts w:ascii="Arial" w:hAnsi="Arial"/>
      <w:b/>
    </w:rPr>
  </w:style>
  <w:style w:type="paragraph" w:styleId="10">
    <w:name w:val="index 1"/>
    <w:basedOn w:val="a1"/>
    <w:next w:val="a1"/>
    <w:rsid w:val="003546F9"/>
  </w:style>
  <w:style w:type="paragraph" w:styleId="6">
    <w:name w:val="toc 6"/>
    <w:basedOn w:val="a1"/>
    <w:next w:val="a1"/>
    <w:rsid w:val="003546F9"/>
    <w:pPr>
      <w:ind w:left="2100"/>
    </w:pPr>
  </w:style>
  <w:style w:type="paragraph" w:styleId="HTML">
    <w:name w:val="HTML Preformatted"/>
    <w:basedOn w:val="a1"/>
    <w:rsid w:val="003546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11">
    <w:name w:val="列出段落1"/>
    <w:next w:val="6"/>
    <w:rsid w:val="003546F9"/>
    <w:pPr>
      <w:widowControl w:val="0"/>
      <w:ind w:firstLineChars="200" w:firstLine="200"/>
      <w:jc w:val="both"/>
    </w:pPr>
    <w:rPr>
      <w:rFonts w:ascii="Calibri" w:hAnsi="Calibri"/>
      <w:kern w:val="2"/>
      <w:sz w:val="21"/>
      <w:szCs w:val="21"/>
    </w:rPr>
  </w:style>
  <w:style w:type="paragraph" w:customStyle="1" w:styleId="a">
    <w:name w:val="章标题"/>
    <w:next w:val="7"/>
    <w:rsid w:val="003546F9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next w:val="7"/>
    <w:rsid w:val="003546F9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0">
    <w:name w:val="三级无"/>
    <w:next w:val="a9"/>
    <w:rsid w:val="003546F9"/>
    <w:pPr>
      <w:numPr>
        <w:ilvl w:val="3"/>
        <w:numId w:val="2"/>
      </w:numPr>
      <w:outlineLvl w:val="4"/>
    </w:pPr>
    <w:rPr>
      <w:rFonts w:ascii="宋体"/>
      <w:sz w:val="21"/>
      <w:szCs w:val="21"/>
    </w:rPr>
  </w:style>
  <w:style w:type="character" w:styleId="ab">
    <w:name w:val="annotation reference"/>
    <w:basedOn w:val="a2"/>
    <w:uiPriority w:val="99"/>
    <w:semiHidden/>
    <w:unhideWhenUsed/>
    <w:rsid w:val="002B7239"/>
    <w:rPr>
      <w:sz w:val="21"/>
      <w:szCs w:val="21"/>
    </w:rPr>
  </w:style>
  <w:style w:type="paragraph" w:styleId="ac">
    <w:name w:val="annotation subject"/>
    <w:basedOn w:val="a5"/>
    <w:next w:val="a5"/>
    <w:link w:val="Char0"/>
    <w:uiPriority w:val="99"/>
    <w:semiHidden/>
    <w:unhideWhenUsed/>
    <w:rsid w:val="002B7239"/>
    <w:rPr>
      <w:b/>
      <w:bCs/>
    </w:rPr>
  </w:style>
  <w:style w:type="character" w:customStyle="1" w:styleId="Char">
    <w:name w:val="批注文字 Char"/>
    <w:basedOn w:val="a2"/>
    <w:link w:val="a5"/>
    <w:rsid w:val="002B7239"/>
    <w:rPr>
      <w:rFonts w:ascii="Calibri" w:hAnsi="Calibri"/>
      <w:kern w:val="2"/>
      <w:sz w:val="21"/>
      <w:szCs w:val="22"/>
    </w:rPr>
  </w:style>
  <w:style w:type="character" w:customStyle="1" w:styleId="Char0">
    <w:name w:val="批注主题 Char"/>
    <w:basedOn w:val="Char"/>
    <w:link w:val="ac"/>
    <w:uiPriority w:val="99"/>
    <w:semiHidden/>
    <w:rsid w:val="002B723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7</Pages>
  <Words>633</Words>
  <Characters>3610</Characters>
  <Application>Microsoft Office Word</Application>
  <DocSecurity>0</DocSecurity>
  <Lines>30</Lines>
  <Paragraphs>8</Paragraphs>
  <ScaleCrop>false</ScaleCrop>
  <Company>Microsoft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dell</cp:lastModifiedBy>
  <cp:revision>18</cp:revision>
  <cp:lastPrinted>2020-09-21T09:48:00Z</cp:lastPrinted>
  <dcterms:created xsi:type="dcterms:W3CDTF">2020-08-10T01:53:00Z</dcterms:created>
  <dcterms:modified xsi:type="dcterms:W3CDTF">2021-09-29T02:04:00Z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