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distribute"/>
        <w:rPr>
          <w:rFonts w:eastAsia="黑体"/>
          <w:sz w:val="44"/>
          <w:szCs w:val="44"/>
        </w:rPr>
      </w:pPr>
      <w:bookmarkStart w:id="0" w:name="_Toc493528140"/>
    </w:p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distribute"/>
        <w:rPr>
          <w:rFonts w:eastAsia="黑体"/>
          <w:sz w:val="44"/>
          <w:szCs w:val="44"/>
        </w:rPr>
      </w:pPr>
    </w:p>
    <w:p w:rsidR="004F4D85" w:rsidRDefault="00A743C1">
      <w:pPr>
        <w:pStyle w:val="12"/>
        <w:spacing w:before="156" w:after="156" w:line="400" w:lineRule="atLeast"/>
        <w:ind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:rsidR="004F4D85" w:rsidRDefault="00A743C1">
      <w:pPr>
        <w:pStyle w:val="12"/>
        <w:spacing w:before="156" w:after="156" w:line="400" w:lineRule="atLeast"/>
        <w:ind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LB/T 0</w:t>
      </w:r>
      <w:r>
        <w:rPr>
          <w:rFonts w:eastAsia="黑体" w:hint="eastAsia"/>
          <w:sz w:val="28"/>
          <w:szCs w:val="28"/>
        </w:rPr>
        <w:t>39</w:t>
      </w:r>
      <w:r>
        <w:rPr>
          <w:rFonts w:eastAsia="黑体"/>
          <w:sz w:val="28"/>
          <w:szCs w:val="28"/>
        </w:rPr>
        <w:t>-2018</w:t>
      </w:r>
    </w:p>
    <w:p w:rsidR="004F4D85" w:rsidRDefault="00282DA7">
      <w:pPr>
        <w:pStyle w:val="12"/>
        <w:spacing w:before="156" w:after="156" w:line="400" w:lineRule="atLeast"/>
        <w:ind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" o:spid="_x0000_s1026" type="#_x0000_t32" style="position:absolute;left:0;text-align:left;margin-left:12.6pt;margin-top:6pt;width:457.7pt;height:0;z-index:251657216" o:gfxdata="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BpObA1QAAAAgBAAAPAAAAAAAA&#10;AAEAIAAAACIAAABkcnMvZG93bnJldi54bWxQSwECFAAUAAAACACHTuJArfN4ctwBAACWAwAADgAA&#10;AAAAAAABACAAAAAkAQAAZHJzL2Uyb0RvYy54bWxQSwUGAAAAAAYABgBZAQAAcgUAAAAA&#10;"/>
        </w:pict>
      </w:r>
    </w:p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4F4D85" w:rsidRDefault="00A743C1">
      <w:pPr>
        <w:pStyle w:val="12"/>
        <w:spacing w:before="156" w:after="156"/>
        <w:ind w:firstLineChars="0" w:firstLine="0"/>
        <w:contextualSpacing/>
        <w:jc w:val="center"/>
        <w:rPr>
          <w:rFonts w:eastAsia="黑体"/>
          <w:spacing w:val="-2"/>
          <w:sz w:val="52"/>
          <w:szCs w:val="52"/>
        </w:rPr>
      </w:pPr>
      <w:r>
        <w:rPr>
          <w:rFonts w:eastAsia="黑体"/>
          <w:spacing w:val="-2"/>
          <w:sz w:val="52"/>
          <w:szCs w:val="52"/>
        </w:rPr>
        <w:t>长江流域</w:t>
      </w:r>
    </w:p>
    <w:p w:rsidR="004F4D85" w:rsidRDefault="00A743C1">
      <w:pPr>
        <w:pStyle w:val="12"/>
        <w:spacing w:before="156" w:after="156"/>
        <w:ind w:firstLineChars="0" w:firstLine="0"/>
        <w:contextualSpacing/>
        <w:jc w:val="center"/>
        <w:rPr>
          <w:rFonts w:eastAsia="黑体"/>
          <w:spacing w:val="-12"/>
          <w:sz w:val="52"/>
          <w:szCs w:val="52"/>
        </w:rPr>
      </w:pPr>
      <w:r>
        <w:rPr>
          <w:rFonts w:eastAsia="黑体"/>
          <w:spacing w:val="-12"/>
          <w:sz w:val="52"/>
          <w:szCs w:val="52"/>
        </w:rPr>
        <w:t>绿色食品塑料大棚黄瓜生产操作规程</w:t>
      </w:r>
    </w:p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4F4D85" w:rsidRDefault="004F4D85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4F4D85" w:rsidRDefault="00A743C1">
      <w:pPr>
        <w:pStyle w:val="12"/>
        <w:spacing w:before="156" w:after="156" w:line="400" w:lineRule="atLeast"/>
        <w:ind w:firstLineChars="0" w:firstLine="0"/>
        <w:contextualSpacing/>
        <w:jc w:val="left"/>
        <w:rPr>
          <w:rFonts w:eastAsia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2018-04-03</w:t>
      </w:r>
      <w:r>
        <w:rPr>
          <w:rFonts w:eastAsia="黑体"/>
          <w:sz w:val="28"/>
          <w:szCs w:val="28"/>
        </w:rPr>
        <w:t>发布</w:t>
      </w:r>
      <w:r>
        <w:rPr>
          <w:rFonts w:eastAsia="黑体"/>
          <w:sz w:val="28"/>
          <w:szCs w:val="28"/>
        </w:rPr>
        <w:t xml:space="preserve">           </w:t>
      </w:r>
      <w:r>
        <w:rPr>
          <w:rFonts w:eastAsia="黑体" w:hint="eastAsia"/>
          <w:sz w:val="28"/>
          <w:szCs w:val="28"/>
        </w:rPr>
        <w:t xml:space="preserve">           </w:t>
      </w:r>
      <w:r>
        <w:rPr>
          <w:rFonts w:eastAsia="黑体"/>
          <w:sz w:val="28"/>
          <w:szCs w:val="28"/>
        </w:rPr>
        <w:t xml:space="preserve">   </w:t>
      </w:r>
      <w:r w:rsidR="00CB7DC4">
        <w:rPr>
          <w:rFonts w:ascii="黑体" w:eastAsia="黑体" w:hAnsi="黑体" w:cs="黑体" w:hint="eastAsia"/>
          <w:sz w:val="28"/>
          <w:szCs w:val="28"/>
        </w:rPr>
        <w:t>20</w:t>
      </w:r>
      <w:r w:rsidR="00CB7DC4">
        <w:rPr>
          <w:rFonts w:ascii="黑体" w:eastAsia="黑体" w:hAnsi="黑体" w:cs="黑体" w:hint="eastAsia"/>
          <w:sz w:val="28"/>
          <w:szCs w:val="28"/>
        </w:rPr>
        <w:t>20</w:t>
      </w:r>
      <w:r>
        <w:rPr>
          <w:rFonts w:ascii="黑体" w:eastAsia="黑体" w:hAnsi="黑体" w:cs="黑体" w:hint="eastAsia"/>
          <w:sz w:val="28"/>
          <w:szCs w:val="28"/>
        </w:rPr>
        <w:t>-</w:t>
      </w:r>
      <w:r w:rsidR="00CB7DC4">
        <w:rPr>
          <w:rFonts w:ascii="黑体" w:eastAsia="黑体" w:hAnsi="黑体" w:cs="黑体" w:hint="eastAsia"/>
          <w:sz w:val="28"/>
          <w:szCs w:val="28"/>
        </w:rPr>
        <w:t>11</w:t>
      </w:r>
      <w:r>
        <w:rPr>
          <w:rFonts w:ascii="黑体" w:eastAsia="黑体" w:hAnsi="黑体" w:cs="黑体" w:hint="eastAsia"/>
          <w:sz w:val="28"/>
          <w:szCs w:val="28"/>
        </w:rPr>
        <w:t>-</w:t>
      </w:r>
      <w:r w:rsidR="00CB7DC4">
        <w:rPr>
          <w:rFonts w:ascii="黑体" w:eastAsia="黑体" w:hAnsi="黑体" w:cs="黑体" w:hint="eastAsia"/>
          <w:sz w:val="28"/>
          <w:szCs w:val="28"/>
        </w:rPr>
        <w:t>0</w:t>
      </w:r>
      <w:r w:rsidR="00CB7DC4">
        <w:rPr>
          <w:rFonts w:ascii="黑体" w:eastAsia="黑体" w:hAnsi="黑体" w:cs="黑体" w:hint="eastAsia"/>
          <w:sz w:val="28"/>
          <w:szCs w:val="28"/>
        </w:rPr>
        <w:t>1</w:t>
      </w:r>
      <w:r>
        <w:rPr>
          <w:rFonts w:eastAsia="黑体"/>
          <w:sz w:val="28"/>
          <w:szCs w:val="28"/>
        </w:rPr>
        <w:t>实施</w:t>
      </w:r>
    </w:p>
    <w:p w:rsidR="004F4D85" w:rsidRDefault="00282DA7">
      <w:pPr>
        <w:pStyle w:val="12"/>
        <w:spacing w:before="156" w:after="156" w:line="400" w:lineRule="atLeast"/>
        <w:ind w:firstLineChars="0" w:firstLine="0"/>
        <w:contextualSpacing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pict>
          <v:shape id="自选图形 2" o:spid="_x0000_s1027" type="#_x0000_t32" style="position:absolute;left:0;text-align:left;margin-left:16.2pt;margin-top:9pt;width:382.2pt;height:1.2pt;z-index:25165824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RqLaR1wAAAAgBAAAPAAAA&#10;AAAAAAEAIAAAACIAAABkcnMvZG93bnJldi54bWxQSwECFAAUAAAACACHTuJAbRtbBt0BAACaAwAA&#10;DgAAAAAAAAABACAAAAAmAQAAZHJzL2Uyb0RvYy54bWxQSwUGAAAAAAYABgBZAQAAdQUAAAAA&#10;"/>
        </w:pict>
      </w:r>
    </w:p>
    <w:p w:rsidR="004F4D85" w:rsidRDefault="00A743C1">
      <w:pPr>
        <w:pStyle w:val="12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28"/>
          <w:szCs w:val="28"/>
        </w:rPr>
      </w:pPr>
      <w:r>
        <w:rPr>
          <w:rFonts w:eastAsia="华文中宋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eastAsia="华文中宋"/>
          <w:spacing w:val="1"/>
          <w:kern w:val="0"/>
          <w:sz w:val="32"/>
          <w:szCs w:val="32"/>
          <w:fitText w:val="4480"/>
        </w:rPr>
        <w:t>心</w:t>
      </w:r>
      <w:r>
        <w:rPr>
          <w:rFonts w:eastAsia="华文中宋"/>
          <w:kern w:val="0"/>
          <w:sz w:val="32"/>
          <w:szCs w:val="32"/>
        </w:rPr>
        <w:t xml:space="preserve">  </w:t>
      </w:r>
      <w:r>
        <w:rPr>
          <w:rFonts w:eastAsia="黑体"/>
          <w:sz w:val="28"/>
          <w:szCs w:val="28"/>
        </w:rPr>
        <w:t>发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布</w:t>
      </w:r>
    </w:p>
    <w:p w:rsidR="004F4D85" w:rsidRDefault="004F4D85">
      <w:pPr>
        <w:pStyle w:val="12"/>
        <w:spacing w:before="156" w:after="156" w:line="400" w:lineRule="atLeast"/>
        <w:ind w:left="0" w:firstLineChars="0" w:firstLine="0"/>
        <w:contextualSpacing/>
        <w:rPr>
          <w:rFonts w:eastAsia="黑体"/>
          <w:sz w:val="32"/>
          <w:szCs w:val="32"/>
        </w:rPr>
      </w:pPr>
    </w:p>
    <w:bookmarkEnd w:id="0"/>
    <w:p w:rsidR="004F4D85" w:rsidRDefault="004F4D85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</w:pPr>
    </w:p>
    <w:p w:rsidR="004F4D85" w:rsidRDefault="004F4D85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</w:pPr>
    </w:p>
    <w:p w:rsidR="004F4D85" w:rsidRDefault="00A743C1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</w:pPr>
      <w:r>
        <w:rPr>
          <w:rFonts w:eastAsia="黑体"/>
          <w:kern w:val="0"/>
          <w:sz w:val="32"/>
          <w:szCs w:val="20"/>
        </w:rPr>
        <w:t>前</w:t>
      </w:r>
      <w:r>
        <w:rPr>
          <w:rFonts w:eastAsia="黑体"/>
          <w:kern w:val="0"/>
          <w:sz w:val="32"/>
          <w:szCs w:val="20"/>
        </w:rPr>
        <w:t xml:space="preserve">    </w:t>
      </w:r>
      <w:r>
        <w:rPr>
          <w:rFonts w:eastAsia="黑体"/>
          <w:kern w:val="0"/>
          <w:sz w:val="32"/>
          <w:szCs w:val="20"/>
        </w:rPr>
        <w:t>言</w:t>
      </w:r>
    </w:p>
    <w:p w:rsidR="004F4D85" w:rsidRDefault="004F4D85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</w:pPr>
    </w:p>
    <w:p w:rsidR="004F4D85" w:rsidRDefault="00A743C1">
      <w:pPr>
        <w:autoSpaceDE w:val="0"/>
        <w:autoSpaceDN w:val="0"/>
        <w:adjustRightInd w:val="0"/>
        <w:spacing w:line="360" w:lineRule="auto"/>
        <w:ind w:leftChars="455" w:left="955"/>
        <w:rPr>
          <w:kern w:val="0"/>
          <w:szCs w:val="21"/>
        </w:rPr>
      </w:pPr>
      <w:r>
        <w:rPr>
          <w:kern w:val="0"/>
          <w:szCs w:val="21"/>
          <w:lang w:val="zh-CN"/>
        </w:rPr>
        <w:t>本规程由中国绿色食品发展中心提出并归口。</w:t>
      </w:r>
    </w:p>
    <w:p w:rsidR="004F4D85" w:rsidRDefault="00A743C1">
      <w:pPr>
        <w:autoSpaceDE w:val="0"/>
        <w:autoSpaceDN w:val="0"/>
        <w:adjustRightInd w:val="0"/>
        <w:spacing w:line="360" w:lineRule="auto"/>
        <w:ind w:left="538" w:firstLine="412"/>
        <w:rPr>
          <w:spacing w:val="-4"/>
          <w:kern w:val="0"/>
          <w:szCs w:val="21"/>
          <w:lang w:val="zh-CN"/>
        </w:rPr>
      </w:pPr>
      <w:r>
        <w:rPr>
          <w:spacing w:val="-4"/>
          <w:kern w:val="0"/>
          <w:szCs w:val="21"/>
          <w:lang w:val="zh-CN"/>
        </w:rPr>
        <w:t>本规程起草单位：江西省绿色食品发展中心、江西农业大学、南京农业大学、萍乡市蔬菜研究所、武宁县农业局</w:t>
      </w:r>
      <w:r>
        <w:rPr>
          <w:rFonts w:hint="eastAsia"/>
          <w:spacing w:val="-4"/>
          <w:kern w:val="0"/>
          <w:szCs w:val="21"/>
          <w:lang w:val="zh-CN"/>
        </w:rPr>
        <w:t>、中国绿色食品发展中心、湖北省绿色食品管理办公室、安徽省绿色食品管理办公室、</w:t>
      </w:r>
      <w:r>
        <w:rPr>
          <w:spacing w:val="-4"/>
          <w:kern w:val="0"/>
          <w:szCs w:val="21"/>
          <w:lang w:val="zh-CN"/>
        </w:rPr>
        <w:t>。</w:t>
      </w:r>
    </w:p>
    <w:p w:rsidR="004F4D85" w:rsidRDefault="00A743C1">
      <w:pPr>
        <w:autoSpaceDE w:val="0"/>
        <w:autoSpaceDN w:val="0"/>
        <w:adjustRightInd w:val="0"/>
        <w:spacing w:before="7" w:line="360" w:lineRule="auto"/>
        <w:ind w:left="538" w:firstLine="420"/>
        <w:rPr>
          <w:spacing w:val="-4"/>
          <w:kern w:val="0"/>
          <w:szCs w:val="21"/>
          <w:lang w:val="zh-CN"/>
        </w:rPr>
      </w:pPr>
      <w:r>
        <w:rPr>
          <w:spacing w:val="-4"/>
          <w:kern w:val="0"/>
          <w:szCs w:val="21"/>
          <w:lang w:val="zh-CN"/>
        </w:rPr>
        <w:t>本规程主要起草人：万文根、杨寅桂、杜志明、肖旭峰、熊晓晖、娄群峰、万其其、王小凤、姚霖、周庆友</w:t>
      </w:r>
      <w:r>
        <w:rPr>
          <w:rFonts w:hint="eastAsia"/>
          <w:spacing w:val="-4"/>
          <w:kern w:val="0"/>
          <w:szCs w:val="21"/>
          <w:lang w:val="zh-CN"/>
        </w:rPr>
        <w:t>、刘艳辉、杨远通、高照荣</w:t>
      </w:r>
      <w:r>
        <w:rPr>
          <w:spacing w:val="-4"/>
          <w:kern w:val="0"/>
          <w:szCs w:val="21"/>
          <w:lang w:val="zh-CN"/>
        </w:rPr>
        <w:t>。</w:t>
      </w:r>
    </w:p>
    <w:p w:rsidR="004F4D85" w:rsidRDefault="004F4D85">
      <w:pPr>
        <w:pStyle w:val="afff0"/>
        <w:spacing w:line="360" w:lineRule="auto"/>
        <w:ind w:firstLine="404"/>
        <w:rPr>
          <w:rFonts w:ascii="Times New Roman" w:eastAsia="宋体" w:hAnsi="Times New Roman" w:cs="Times New Roman"/>
          <w:spacing w:val="-4"/>
          <w:kern w:val="0"/>
          <w:szCs w:val="21"/>
          <w:lang w:val="zh-CN"/>
        </w:rPr>
      </w:pPr>
    </w:p>
    <w:p w:rsidR="004F4D85" w:rsidRDefault="004F4D85">
      <w:pPr>
        <w:pStyle w:val="afff0"/>
        <w:ind w:firstLine="404"/>
        <w:rPr>
          <w:rFonts w:ascii="Times New Roman" w:eastAsia="宋体" w:hAnsi="Times New Roman" w:cs="Times New Roman"/>
          <w:spacing w:val="-4"/>
          <w:kern w:val="0"/>
          <w:szCs w:val="21"/>
          <w:lang w:val="zh-CN"/>
        </w:rPr>
        <w:sectPr w:rsidR="004F4D85">
          <w:footerReference w:type="default" r:id="rId9"/>
          <w:pgSz w:w="11906" w:h="16838"/>
          <w:pgMar w:top="567" w:right="1134" w:bottom="1134" w:left="1418" w:header="1418" w:footer="1134" w:gutter="0"/>
          <w:pgNumType w:fmt="upperRoman" w:start="1"/>
          <w:cols w:space="720"/>
          <w:formProt w:val="0"/>
          <w:docGrid w:type="lines" w:linePitch="312"/>
        </w:sectPr>
      </w:pPr>
    </w:p>
    <w:p w:rsidR="004F4D85" w:rsidRDefault="00A743C1">
      <w:pPr>
        <w:pStyle w:val="a4"/>
        <w:numPr>
          <w:ilvl w:val="0"/>
          <w:numId w:val="0"/>
        </w:numPr>
        <w:spacing w:before="312" w:after="312"/>
        <w:jc w:val="center"/>
        <w:rPr>
          <w:rFonts w:ascii="Times New Roman"/>
          <w:sz w:val="32"/>
        </w:rPr>
      </w:pPr>
      <w:bookmarkStart w:id="1" w:name="_Toc493511997"/>
      <w:bookmarkStart w:id="2" w:name="_Toc493511136"/>
      <w:bookmarkStart w:id="3" w:name="_Toc493528141"/>
      <w:bookmarkStart w:id="4" w:name="_Toc493513102"/>
      <w:bookmarkStart w:id="5" w:name="_Toc493513223"/>
      <w:r>
        <w:rPr>
          <w:rFonts w:ascii="Times New Roman"/>
          <w:sz w:val="32"/>
        </w:rPr>
        <w:lastRenderedPageBreak/>
        <w:t>长江流域</w:t>
      </w:r>
    </w:p>
    <w:p w:rsidR="004F4D85" w:rsidRDefault="00A743C1">
      <w:pPr>
        <w:pStyle w:val="a4"/>
        <w:numPr>
          <w:ilvl w:val="0"/>
          <w:numId w:val="0"/>
        </w:numPr>
        <w:spacing w:before="312" w:after="312"/>
        <w:jc w:val="center"/>
        <w:rPr>
          <w:rFonts w:ascii="Times New Roman"/>
          <w:sz w:val="32"/>
        </w:rPr>
      </w:pPr>
      <w:r>
        <w:rPr>
          <w:rFonts w:ascii="Times New Roman"/>
          <w:sz w:val="32"/>
        </w:rPr>
        <w:t>绿色食品塑料大棚黄瓜生产操作规程</w:t>
      </w:r>
    </w:p>
    <w:p w:rsidR="004F4D85" w:rsidRDefault="00A743C1">
      <w:pPr>
        <w:pStyle w:val="a4"/>
        <w:spacing w:before="312" w:after="312"/>
        <w:rPr>
          <w:rFonts w:ascii="Times New Roman"/>
        </w:rPr>
      </w:pPr>
      <w:r>
        <w:rPr>
          <w:rFonts w:ascii="Times New Roman"/>
        </w:rPr>
        <w:t>范围</w:t>
      </w:r>
      <w:bookmarkEnd w:id="1"/>
      <w:bookmarkEnd w:id="2"/>
      <w:bookmarkEnd w:id="3"/>
      <w:bookmarkEnd w:id="4"/>
      <w:bookmarkEnd w:id="5"/>
    </w:p>
    <w:p w:rsidR="004F4D85" w:rsidRDefault="00A743C1">
      <w:pPr>
        <w:autoSpaceDE w:val="0"/>
        <w:autoSpaceDN w:val="0"/>
        <w:adjustRightInd w:val="0"/>
        <w:spacing w:before="1"/>
        <w:ind w:firstLine="412"/>
        <w:rPr>
          <w:color w:val="FF0000"/>
          <w:spacing w:val="-4"/>
          <w:kern w:val="0"/>
          <w:szCs w:val="21"/>
        </w:rPr>
      </w:pPr>
      <w:r>
        <w:rPr>
          <w:spacing w:val="-4"/>
          <w:kern w:val="0"/>
          <w:szCs w:val="21"/>
          <w:lang w:val="zh-CN"/>
        </w:rPr>
        <w:t>本规程规定了长江流域绿色食品塑料大棚黄瓜栽培的产地环境条件、主要茬口与品种选择、育苗、施基肥整地、定植、田间管理、采收与包装、运输与贮存和</w:t>
      </w:r>
      <w:r>
        <w:rPr>
          <w:rFonts w:hint="eastAsia"/>
          <w:spacing w:val="-4"/>
          <w:kern w:val="0"/>
          <w:szCs w:val="21"/>
          <w:lang w:val="zh-CN"/>
        </w:rPr>
        <w:t>生</w:t>
      </w:r>
      <w:r>
        <w:rPr>
          <w:spacing w:val="-4"/>
          <w:kern w:val="0"/>
          <w:szCs w:val="21"/>
          <w:lang w:val="zh-CN"/>
        </w:rPr>
        <w:t>产废弃物处理。</w:t>
      </w:r>
    </w:p>
    <w:p w:rsidR="004F4D85" w:rsidRDefault="00A743C1">
      <w:pPr>
        <w:pStyle w:val="aff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  <w:lang w:val="zh-CN"/>
        </w:rPr>
        <w:t>本规程适用于</w:t>
      </w:r>
      <w:r>
        <w:rPr>
          <w:rFonts w:ascii="Times New Roman" w:hAnsi="Times New Roman" w:cs="Times New Roman"/>
          <w:spacing w:val="-4"/>
          <w:szCs w:val="21"/>
          <w:lang w:val="zh-CN"/>
        </w:rPr>
        <w:t>上海、江苏南部、浙江、安徽、江西、湖北、湖南、四川和重庆的</w:t>
      </w:r>
      <w:r>
        <w:rPr>
          <w:rFonts w:ascii="Times New Roman" w:hAnsi="Times New Roman" w:cs="Times New Roman"/>
          <w:szCs w:val="21"/>
          <w:lang w:val="zh-CN"/>
        </w:rPr>
        <w:t>绿色食品塑料大棚黄瓜生产。</w:t>
      </w:r>
    </w:p>
    <w:p w:rsidR="004F4D85" w:rsidRDefault="00A743C1">
      <w:pPr>
        <w:pStyle w:val="a4"/>
        <w:spacing w:before="312" w:after="312"/>
        <w:rPr>
          <w:rFonts w:ascii="Times New Roman"/>
        </w:rPr>
      </w:pPr>
      <w:bookmarkStart w:id="6" w:name="_Toc493513103"/>
      <w:bookmarkStart w:id="7" w:name="_Toc493513224"/>
      <w:bookmarkStart w:id="8" w:name="_Toc493511137"/>
      <w:bookmarkStart w:id="9" w:name="_Toc493511998"/>
      <w:bookmarkStart w:id="10" w:name="_Toc493528142"/>
      <w:r>
        <w:rPr>
          <w:rFonts w:ascii="Times New Roman"/>
        </w:rPr>
        <w:t>规范性引用文件</w:t>
      </w:r>
      <w:bookmarkEnd w:id="6"/>
      <w:bookmarkEnd w:id="7"/>
      <w:bookmarkEnd w:id="8"/>
      <w:bookmarkEnd w:id="9"/>
      <w:bookmarkEnd w:id="10"/>
    </w:p>
    <w:p w:rsidR="004F4D85" w:rsidRDefault="00A743C1">
      <w:pPr>
        <w:pStyle w:val="aff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4F4D85" w:rsidRDefault="00A743C1">
      <w:pPr>
        <w:tabs>
          <w:tab w:val="left" w:pos="1462"/>
        </w:tabs>
        <w:autoSpaceDE w:val="0"/>
        <w:autoSpaceDN w:val="0"/>
        <w:adjustRightInd w:val="0"/>
        <w:spacing w:before="7"/>
        <w:ind w:firstLineChars="200"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GB 3543  </w:t>
      </w:r>
      <w:r>
        <w:rPr>
          <w:kern w:val="0"/>
          <w:szCs w:val="21"/>
          <w:lang w:val="zh-CN"/>
        </w:rPr>
        <w:t>农作物种子检验规程</w:t>
      </w:r>
    </w:p>
    <w:p w:rsidR="004F4D85" w:rsidRDefault="00A743C1">
      <w:pPr>
        <w:tabs>
          <w:tab w:val="left" w:pos="1462"/>
        </w:tabs>
        <w:autoSpaceDE w:val="0"/>
        <w:autoSpaceDN w:val="0"/>
        <w:adjustRightInd w:val="0"/>
        <w:spacing w:before="7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GB 4286  </w:t>
      </w:r>
      <w:r>
        <w:rPr>
          <w:kern w:val="0"/>
          <w:szCs w:val="21"/>
          <w:lang w:val="zh-CN"/>
        </w:rPr>
        <w:t>农药安全使用标准</w:t>
      </w:r>
    </w:p>
    <w:p w:rsidR="004F4D85" w:rsidRDefault="00A743C1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GB 16715.1  </w:t>
      </w:r>
      <w:r>
        <w:rPr>
          <w:kern w:val="0"/>
          <w:szCs w:val="21"/>
          <w:lang w:val="zh-CN"/>
        </w:rPr>
        <w:t>瓜菜作物种子</w:t>
      </w:r>
      <w:r>
        <w:rPr>
          <w:kern w:val="0"/>
          <w:szCs w:val="21"/>
          <w:lang w:val="zh-CN"/>
        </w:rPr>
        <w:t xml:space="preserve"> </w:t>
      </w:r>
      <w:r>
        <w:rPr>
          <w:kern w:val="0"/>
          <w:szCs w:val="21"/>
          <w:lang w:val="zh-CN"/>
        </w:rPr>
        <w:t>第</w:t>
      </w:r>
      <w:r>
        <w:rPr>
          <w:kern w:val="0"/>
          <w:szCs w:val="21"/>
          <w:lang w:val="zh-CN"/>
        </w:rPr>
        <w:t>1</w:t>
      </w:r>
      <w:r>
        <w:rPr>
          <w:kern w:val="0"/>
          <w:szCs w:val="21"/>
          <w:lang w:val="zh-CN"/>
        </w:rPr>
        <w:t>部分：瓜类</w:t>
      </w:r>
    </w:p>
    <w:p w:rsidR="004F4D85" w:rsidRDefault="00282DA7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hyperlink r:id="rId10" w:history="1">
        <w:r w:rsidR="00A743C1">
          <w:rPr>
            <w:kern w:val="0"/>
            <w:szCs w:val="21"/>
            <w:lang w:val="zh-CN"/>
          </w:rPr>
          <w:t>GB/T 8321</w:t>
        </w:r>
      </w:hyperlink>
      <w:r w:rsidR="00A743C1">
        <w:rPr>
          <w:kern w:val="0"/>
          <w:szCs w:val="21"/>
          <w:lang w:val="zh-CN"/>
        </w:rPr>
        <w:t xml:space="preserve">  </w:t>
      </w:r>
      <w:r w:rsidR="00A743C1">
        <w:rPr>
          <w:kern w:val="0"/>
          <w:szCs w:val="21"/>
          <w:lang w:val="zh-CN"/>
        </w:rPr>
        <w:t>农药合理使用准则</w:t>
      </w:r>
    </w:p>
    <w:p w:rsidR="004F4D85" w:rsidRDefault="00A743C1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391  </w:t>
      </w:r>
      <w:r>
        <w:rPr>
          <w:kern w:val="0"/>
          <w:szCs w:val="21"/>
          <w:lang w:val="zh-CN"/>
        </w:rPr>
        <w:t>绿色食品产地环境质量</w:t>
      </w:r>
    </w:p>
    <w:p w:rsidR="004F4D85" w:rsidRDefault="00A743C1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393  </w:t>
      </w:r>
      <w:r>
        <w:rPr>
          <w:kern w:val="0"/>
          <w:szCs w:val="21"/>
          <w:lang w:val="zh-CN"/>
        </w:rPr>
        <w:t>绿色食品农药使用准则</w:t>
      </w:r>
    </w:p>
    <w:p w:rsidR="004F4D85" w:rsidRDefault="00A743C1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394  </w:t>
      </w:r>
      <w:r>
        <w:rPr>
          <w:kern w:val="0"/>
          <w:szCs w:val="21"/>
          <w:lang w:val="zh-CN"/>
        </w:rPr>
        <w:t>绿色食品肥料使用准则</w:t>
      </w:r>
    </w:p>
    <w:p w:rsidR="004F4D85" w:rsidRDefault="00A743C1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658  </w:t>
      </w:r>
      <w:r>
        <w:rPr>
          <w:kern w:val="0"/>
          <w:szCs w:val="21"/>
          <w:lang w:val="zh-CN"/>
        </w:rPr>
        <w:t>绿色食品</w:t>
      </w:r>
      <w:r>
        <w:rPr>
          <w:kern w:val="0"/>
          <w:szCs w:val="21"/>
          <w:lang w:val="zh-CN"/>
        </w:rPr>
        <w:t> </w:t>
      </w:r>
      <w:r>
        <w:rPr>
          <w:kern w:val="0"/>
          <w:szCs w:val="21"/>
          <w:lang w:val="zh-CN"/>
        </w:rPr>
        <w:t>包装通用准则</w:t>
      </w:r>
    </w:p>
    <w:p w:rsidR="004F4D85" w:rsidRDefault="00A743C1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747  </w:t>
      </w:r>
      <w:r>
        <w:rPr>
          <w:kern w:val="0"/>
          <w:szCs w:val="21"/>
          <w:lang w:val="zh-CN"/>
        </w:rPr>
        <w:t>绿色食品</w:t>
      </w:r>
      <w:r>
        <w:rPr>
          <w:kern w:val="0"/>
          <w:szCs w:val="21"/>
          <w:lang w:val="zh-CN"/>
        </w:rPr>
        <w:t> </w:t>
      </w:r>
      <w:r>
        <w:rPr>
          <w:kern w:val="0"/>
          <w:szCs w:val="21"/>
          <w:lang w:val="zh-CN"/>
        </w:rPr>
        <w:t>瓜类蔬菜</w:t>
      </w:r>
    </w:p>
    <w:p w:rsidR="004F4D85" w:rsidRDefault="00A743C1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1056  </w:t>
      </w:r>
      <w:r>
        <w:rPr>
          <w:kern w:val="0"/>
          <w:szCs w:val="21"/>
          <w:lang w:val="zh-CN"/>
        </w:rPr>
        <w:t>绿色食品</w:t>
      </w:r>
      <w:r>
        <w:rPr>
          <w:kern w:val="0"/>
          <w:szCs w:val="21"/>
          <w:lang w:val="zh-CN"/>
        </w:rPr>
        <w:t xml:space="preserve"> </w:t>
      </w:r>
      <w:r>
        <w:rPr>
          <w:kern w:val="0"/>
          <w:szCs w:val="21"/>
          <w:lang w:val="zh-CN"/>
        </w:rPr>
        <w:t>贮藏运输准则</w:t>
      </w:r>
    </w:p>
    <w:p w:rsidR="004F4D85" w:rsidRDefault="00A743C1">
      <w:pPr>
        <w:pStyle w:val="a4"/>
        <w:spacing w:before="312" w:after="312"/>
        <w:rPr>
          <w:rFonts w:ascii="Times New Roman"/>
        </w:rPr>
      </w:pPr>
      <w:bookmarkStart w:id="11" w:name="_Toc493511138"/>
      <w:bookmarkStart w:id="12" w:name="_Toc493528148"/>
      <w:bookmarkStart w:id="13" w:name="_Toc493513109"/>
      <w:bookmarkStart w:id="14" w:name="_Toc493513230"/>
      <w:bookmarkStart w:id="15" w:name="_Toc493512004"/>
      <w:bookmarkEnd w:id="11"/>
      <w:r>
        <w:rPr>
          <w:rFonts w:ascii="Times New Roman"/>
        </w:rPr>
        <w:t>产地环境条件</w:t>
      </w:r>
      <w:bookmarkEnd w:id="12"/>
      <w:bookmarkEnd w:id="13"/>
      <w:bookmarkEnd w:id="14"/>
      <w:bookmarkEnd w:id="15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产地环境条件应符合</w:t>
      </w:r>
      <w:r>
        <w:rPr>
          <w:rFonts w:hint="eastAsia"/>
          <w:kern w:val="0"/>
          <w:szCs w:val="21"/>
        </w:rPr>
        <w:t xml:space="preserve"> NY/T 391</w:t>
      </w:r>
      <w:r>
        <w:rPr>
          <w:rFonts w:hint="eastAsia"/>
          <w:kern w:val="0"/>
          <w:szCs w:val="21"/>
        </w:rPr>
        <w:t>的规定。选择地势高燥、排灌方便、透气性良好、富含有机质、</w:t>
      </w:r>
      <w:r>
        <w:rPr>
          <w:rFonts w:hint="eastAsia"/>
          <w:kern w:val="0"/>
          <w:szCs w:val="21"/>
        </w:rPr>
        <w:t>pH</w:t>
      </w:r>
      <w:r>
        <w:rPr>
          <w:rFonts w:hint="eastAsia"/>
          <w:kern w:val="0"/>
          <w:szCs w:val="21"/>
        </w:rPr>
        <w:t>值</w:t>
      </w:r>
      <w:r>
        <w:rPr>
          <w:rFonts w:hint="eastAsia"/>
          <w:kern w:val="0"/>
          <w:szCs w:val="21"/>
        </w:rPr>
        <w:t>5.5</w:t>
      </w:r>
      <w:r>
        <w:rPr>
          <w:rFonts w:hint="eastAsia"/>
          <w:kern w:val="0"/>
          <w:szCs w:val="21"/>
        </w:rPr>
        <w:t>～</w:t>
      </w:r>
      <w:r>
        <w:rPr>
          <w:rFonts w:hint="eastAsia"/>
          <w:kern w:val="0"/>
          <w:szCs w:val="21"/>
        </w:rPr>
        <w:t>7.5</w:t>
      </w:r>
      <w:r>
        <w:rPr>
          <w:rFonts w:hint="eastAsia"/>
          <w:kern w:val="0"/>
          <w:szCs w:val="21"/>
        </w:rPr>
        <w:t>、耕作层深</w:t>
      </w:r>
      <w:r>
        <w:rPr>
          <w:rFonts w:hint="eastAsia"/>
          <w:kern w:val="0"/>
          <w:szCs w:val="21"/>
        </w:rPr>
        <w:t>30 cm</w:t>
      </w:r>
      <w:r>
        <w:rPr>
          <w:rFonts w:hint="eastAsia"/>
          <w:kern w:val="0"/>
          <w:szCs w:val="21"/>
        </w:rPr>
        <w:t>以上的壤土或砂质壤土，前茬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>～</w:t>
      </w:r>
      <w:r>
        <w:rPr>
          <w:rFonts w:hint="eastAsia"/>
          <w:kern w:val="0"/>
          <w:szCs w:val="21"/>
        </w:rPr>
        <w:t>2</w:t>
      </w:r>
      <w:r>
        <w:rPr>
          <w:rFonts w:hint="eastAsia"/>
          <w:kern w:val="0"/>
          <w:szCs w:val="21"/>
        </w:rPr>
        <w:t>年未种过瓜类作物的地块。</w:t>
      </w:r>
    </w:p>
    <w:p w:rsidR="004F4D85" w:rsidRDefault="00A743C1">
      <w:pPr>
        <w:pStyle w:val="a4"/>
        <w:spacing w:before="312" w:after="312"/>
        <w:rPr>
          <w:rFonts w:ascii="Times New Roman"/>
        </w:rPr>
      </w:pPr>
      <w:bookmarkStart w:id="16" w:name="_Toc493513110"/>
      <w:bookmarkStart w:id="17" w:name="_Toc493512005"/>
      <w:bookmarkStart w:id="18" w:name="_Toc493513231"/>
      <w:bookmarkStart w:id="19" w:name="_Toc493528149"/>
      <w:r>
        <w:rPr>
          <w:rFonts w:ascii="Times New Roman"/>
        </w:rPr>
        <w:t>主要茬口与品种选择</w:t>
      </w:r>
      <w:bookmarkEnd w:id="16"/>
      <w:bookmarkEnd w:id="17"/>
      <w:bookmarkEnd w:id="18"/>
      <w:bookmarkEnd w:id="19"/>
    </w:p>
    <w:p w:rsidR="004F4D85" w:rsidRDefault="00A743C1">
      <w:pPr>
        <w:pStyle w:val="a5"/>
        <w:tabs>
          <w:tab w:val="left" w:pos="420"/>
        </w:tabs>
        <w:spacing w:before="156" w:after="156"/>
        <w:ind w:left="0"/>
        <w:rPr>
          <w:rFonts w:ascii="Times New Roman"/>
        </w:rPr>
      </w:pPr>
      <w:bookmarkStart w:id="20" w:name="_Toc493512006"/>
      <w:bookmarkStart w:id="21" w:name="_Toc493513111"/>
      <w:bookmarkStart w:id="22" w:name="_Toc493513232"/>
      <w:bookmarkStart w:id="23" w:name="_Toc493528150"/>
      <w:r>
        <w:rPr>
          <w:rFonts w:ascii="Times New Roman"/>
        </w:rPr>
        <w:t>主要茬口</w:t>
      </w:r>
      <w:bookmarkEnd w:id="20"/>
      <w:bookmarkEnd w:id="21"/>
      <w:bookmarkEnd w:id="22"/>
      <w:bookmarkEnd w:id="23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塑料大棚春提早栽培于</w:t>
      </w:r>
      <w:r>
        <w:rPr>
          <w:kern w:val="0"/>
          <w:szCs w:val="21"/>
        </w:rPr>
        <w:t>1</w:t>
      </w:r>
      <w:r>
        <w:rPr>
          <w:kern w:val="0"/>
          <w:szCs w:val="21"/>
          <w:lang w:val="zh-CN"/>
        </w:rPr>
        <w:t>月下旬～</w:t>
      </w:r>
      <w:r>
        <w:rPr>
          <w:kern w:val="0"/>
          <w:szCs w:val="21"/>
        </w:rPr>
        <w:t>2</w:t>
      </w:r>
      <w:r>
        <w:rPr>
          <w:kern w:val="0"/>
          <w:szCs w:val="21"/>
          <w:lang w:val="zh-CN"/>
        </w:rPr>
        <w:t>月上旬播种，</w:t>
      </w:r>
      <w:r>
        <w:rPr>
          <w:kern w:val="0"/>
          <w:szCs w:val="21"/>
        </w:rPr>
        <w:t>2</w:t>
      </w:r>
      <w:r>
        <w:rPr>
          <w:kern w:val="0"/>
          <w:szCs w:val="21"/>
          <w:lang w:val="zh-CN"/>
        </w:rPr>
        <w:t>月下旬～</w:t>
      </w:r>
      <w:r>
        <w:rPr>
          <w:kern w:val="0"/>
          <w:szCs w:val="21"/>
        </w:rPr>
        <w:t>3</w:t>
      </w:r>
      <w:r>
        <w:rPr>
          <w:kern w:val="0"/>
          <w:szCs w:val="21"/>
          <w:lang w:val="zh-CN"/>
        </w:rPr>
        <w:t>月上旬定植，</w:t>
      </w:r>
      <w:r>
        <w:rPr>
          <w:kern w:val="0"/>
          <w:szCs w:val="21"/>
        </w:rPr>
        <w:t>4</w:t>
      </w:r>
      <w:r>
        <w:rPr>
          <w:kern w:val="0"/>
          <w:szCs w:val="21"/>
          <w:lang w:val="zh-CN"/>
        </w:rPr>
        <w:t>月中旬开始上市；塑料大棚秋延后栽培于</w:t>
      </w:r>
      <w:r>
        <w:rPr>
          <w:kern w:val="0"/>
          <w:szCs w:val="21"/>
        </w:rPr>
        <w:t>7</w:t>
      </w:r>
      <w:r>
        <w:rPr>
          <w:kern w:val="0"/>
          <w:szCs w:val="21"/>
          <w:lang w:val="zh-CN"/>
        </w:rPr>
        <w:t>月下旬～</w:t>
      </w:r>
      <w:r>
        <w:rPr>
          <w:kern w:val="0"/>
          <w:szCs w:val="21"/>
        </w:rPr>
        <w:t>8</w:t>
      </w:r>
      <w:r>
        <w:rPr>
          <w:kern w:val="0"/>
          <w:szCs w:val="21"/>
          <w:lang w:val="zh-CN"/>
        </w:rPr>
        <w:t>月上旬播种，</w:t>
      </w:r>
      <w:r>
        <w:rPr>
          <w:kern w:val="0"/>
          <w:szCs w:val="21"/>
        </w:rPr>
        <w:t>8</w:t>
      </w:r>
      <w:r>
        <w:rPr>
          <w:kern w:val="0"/>
          <w:szCs w:val="21"/>
          <w:lang w:val="zh-CN"/>
        </w:rPr>
        <w:t>月中下旬定植，</w:t>
      </w:r>
      <w:r>
        <w:rPr>
          <w:kern w:val="0"/>
          <w:szCs w:val="21"/>
        </w:rPr>
        <w:t>10</w:t>
      </w:r>
      <w:r>
        <w:rPr>
          <w:kern w:val="0"/>
          <w:szCs w:val="21"/>
          <w:lang w:val="zh-CN"/>
        </w:rPr>
        <w:t>月上旬～</w:t>
      </w:r>
      <w:r>
        <w:rPr>
          <w:kern w:val="0"/>
          <w:szCs w:val="21"/>
        </w:rPr>
        <w:t>10</w:t>
      </w:r>
      <w:r>
        <w:rPr>
          <w:kern w:val="0"/>
          <w:szCs w:val="21"/>
          <w:lang w:val="zh-CN"/>
        </w:rPr>
        <w:t>月中旬开始上市。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24" w:name="_Toc493528151"/>
      <w:bookmarkStart w:id="25" w:name="_Toc493513233"/>
      <w:bookmarkStart w:id="26" w:name="_Toc493513112"/>
      <w:bookmarkStart w:id="27" w:name="_Toc493512007"/>
      <w:r>
        <w:rPr>
          <w:rFonts w:ascii="Times New Roman"/>
        </w:rPr>
        <w:t>品种选择</w:t>
      </w:r>
      <w:bookmarkEnd w:id="24"/>
      <w:bookmarkEnd w:id="25"/>
      <w:bookmarkEnd w:id="26"/>
      <w:bookmarkEnd w:id="27"/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28" w:name="_Toc493513113"/>
      <w:r>
        <w:rPr>
          <w:rFonts w:ascii="Times New Roman"/>
        </w:rPr>
        <w:lastRenderedPageBreak/>
        <w:t>4.2.1</w:t>
      </w:r>
      <w:r>
        <w:rPr>
          <w:rFonts w:ascii="Times New Roman"/>
        </w:rPr>
        <w:t>品种选择原则</w:t>
      </w:r>
      <w:bookmarkEnd w:id="28"/>
    </w:p>
    <w:p w:rsidR="004F4D85" w:rsidRDefault="00A743C1">
      <w:pPr>
        <w:autoSpaceDE w:val="0"/>
        <w:autoSpaceDN w:val="0"/>
        <w:adjustRightInd w:val="0"/>
        <w:spacing w:before="100" w:after="100"/>
        <w:ind w:left="110"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依当地气候条件、栽培季节和市场需求选择适宜品种，并注意保持品种多样性。要求选择抗病、优质、高产、耐贮运、商品性能佳的品种。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29" w:name="_Toc493513114"/>
      <w:r>
        <w:rPr>
          <w:rFonts w:ascii="Times New Roman"/>
        </w:rPr>
        <w:t>4.2.2</w:t>
      </w:r>
      <w:r>
        <w:rPr>
          <w:rFonts w:ascii="Times New Roman"/>
        </w:rPr>
        <w:t>品种选择</w:t>
      </w:r>
      <w:bookmarkEnd w:id="29"/>
    </w:p>
    <w:p w:rsidR="004F4D85" w:rsidRDefault="00A743C1">
      <w:pPr>
        <w:autoSpaceDE w:val="0"/>
        <w:autoSpaceDN w:val="0"/>
        <w:adjustRightInd w:val="0"/>
        <w:spacing w:before="100" w:after="100"/>
        <w:ind w:left="110"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大棚春提早栽培应选择津优</w:t>
      </w:r>
      <w:r>
        <w:rPr>
          <w:kern w:val="0"/>
          <w:szCs w:val="21"/>
          <w:lang w:val="zh-CN"/>
        </w:rPr>
        <w:t>10</w:t>
      </w:r>
      <w:r>
        <w:rPr>
          <w:kern w:val="0"/>
          <w:szCs w:val="21"/>
          <w:lang w:val="zh-CN"/>
        </w:rPr>
        <w:t>号、津绿</w:t>
      </w:r>
      <w:r>
        <w:rPr>
          <w:kern w:val="0"/>
          <w:szCs w:val="21"/>
          <w:lang w:val="zh-CN"/>
        </w:rPr>
        <w:t>3</w:t>
      </w:r>
      <w:r>
        <w:rPr>
          <w:kern w:val="0"/>
          <w:szCs w:val="21"/>
          <w:lang w:val="zh-CN"/>
        </w:rPr>
        <w:t>号、津优</w:t>
      </w:r>
      <w:r>
        <w:rPr>
          <w:kern w:val="0"/>
          <w:szCs w:val="21"/>
          <w:lang w:val="zh-CN"/>
        </w:rPr>
        <w:t>3</w:t>
      </w:r>
      <w:r>
        <w:rPr>
          <w:kern w:val="0"/>
          <w:szCs w:val="21"/>
          <w:lang w:val="zh-CN"/>
        </w:rPr>
        <w:t>号、南水</w:t>
      </w:r>
      <w:r>
        <w:rPr>
          <w:kern w:val="0"/>
          <w:szCs w:val="21"/>
          <w:lang w:val="zh-CN"/>
        </w:rPr>
        <w:t>2</w:t>
      </w:r>
      <w:r>
        <w:rPr>
          <w:kern w:val="0"/>
          <w:szCs w:val="21"/>
          <w:lang w:val="zh-CN"/>
        </w:rPr>
        <w:t>号、南水</w:t>
      </w:r>
      <w:r>
        <w:rPr>
          <w:kern w:val="0"/>
          <w:szCs w:val="21"/>
          <w:lang w:val="zh-CN"/>
        </w:rPr>
        <w:t>3</w:t>
      </w:r>
      <w:r>
        <w:rPr>
          <w:kern w:val="0"/>
          <w:szCs w:val="21"/>
          <w:lang w:val="zh-CN"/>
        </w:rPr>
        <w:t>号、中农</w:t>
      </w:r>
      <w:r>
        <w:rPr>
          <w:kern w:val="0"/>
          <w:szCs w:val="21"/>
          <w:lang w:val="zh-CN"/>
        </w:rPr>
        <w:t>8</w:t>
      </w:r>
      <w:r>
        <w:rPr>
          <w:kern w:val="0"/>
          <w:szCs w:val="21"/>
          <w:lang w:val="zh-CN"/>
        </w:rPr>
        <w:t>号和赣黄瓜</w:t>
      </w:r>
      <w:r>
        <w:rPr>
          <w:kern w:val="0"/>
          <w:szCs w:val="21"/>
          <w:lang w:val="zh-CN"/>
        </w:rPr>
        <w:t>2</w:t>
      </w:r>
      <w:r>
        <w:rPr>
          <w:kern w:val="0"/>
          <w:szCs w:val="21"/>
          <w:lang w:val="zh-CN"/>
        </w:rPr>
        <w:t>号等早熟、耐寒、单性结实能力强、丰产和抗病的品种；大棚秋延后栽培应选择津优</w:t>
      </w:r>
      <w:r>
        <w:rPr>
          <w:kern w:val="0"/>
          <w:szCs w:val="21"/>
          <w:lang w:val="zh-CN"/>
        </w:rPr>
        <w:t>38</w:t>
      </w:r>
      <w:r>
        <w:rPr>
          <w:kern w:val="0"/>
          <w:szCs w:val="21"/>
          <w:lang w:val="zh-CN"/>
        </w:rPr>
        <w:t>号、南抗</w:t>
      </w:r>
      <w:r>
        <w:rPr>
          <w:kern w:val="0"/>
          <w:szCs w:val="21"/>
          <w:lang w:val="zh-CN"/>
        </w:rPr>
        <w:t>1</w:t>
      </w:r>
      <w:r>
        <w:rPr>
          <w:kern w:val="0"/>
          <w:szCs w:val="21"/>
          <w:lang w:val="zh-CN"/>
        </w:rPr>
        <w:t>号、鄂黄瓜</w:t>
      </w:r>
      <w:r>
        <w:rPr>
          <w:kern w:val="0"/>
          <w:szCs w:val="21"/>
          <w:lang w:val="zh-CN"/>
        </w:rPr>
        <w:t>1</w:t>
      </w:r>
      <w:r>
        <w:rPr>
          <w:kern w:val="0"/>
          <w:szCs w:val="21"/>
          <w:lang w:val="zh-CN"/>
        </w:rPr>
        <w:t>号、华黄</w:t>
      </w:r>
      <w:r>
        <w:rPr>
          <w:kern w:val="0"/>
          <w:szCs w:val="21"/>
          <w:lang w:val="zh-CN"/>
        </w:rPr>
        <w:t>1</w:t>
      </w:r>
      <w:r>
        <w:rPr>
          <w:kern w:val="0"/>
          <w:szCs w:val="21"/>
          <w:lang w:val="zh-CN"/>
        </w:rPr>
        <w:t>号和德瑞特</w:t>
      </w:r>
      <w:r>
        <w:rPr>
          <w:kern w:val="0"/>
          <w:szCs w:val="21"/>
          <w:lang w:val="zh-CN"/>
        </w:rPr>
        <w:t xml:space="preserve"> 39</w:t>
      </w:r>
      <w:r>
        <w:rPr>
          <w:kern w:val="0"/>
          <w:szCs w:val="21"/>
          <w:lang w:val="zh-CN"/>
        </w:rPr>
        <w:t>等高抗病毒、耐热、耐寒和耐弱光的品种。</w:t>
      </w:r>
    </w:p>
    <w:p w:rsidR="004F4D85" w:rsidRDefault="00A743C1">
      <w:pPr>
        <w:pStyle w:val="a4"/>
        <w:spacing w:before="312" w:after="312"/>
        <w:rPr>
          <w:rFonts w:ascii="Times New Roman"/>
        </w:rPr>
      </w:pPr>
      <w:bookmarkStart w:id="30" w:name="_Toc493512008"/>
      <w:bookmarkStart w:id="31" w:name="_Toc493528152"/>
      <w:bookmarkStart w:id="32" w:name="_Toc493513115"/>
      <w:bookmarkStart w:id="33" w:name="_Toc493513234"/>
      <w:r>
        <w:rPr>
          <w:rFonts w:ascii="Times New Roman"/>
        </w:rPr>
        <w:t>育苗</w:t>
      </w:r>
      <w:bookmarkEnd w:id="30"/>
      <w:bookmarkEnd w:id="31"/>
      <w:bookmarkEnd w:id="32"/>
      <w:bookmarkEnd w:id="33"/>
    </w:p>
    <w:p w:rsidR="004F4D85" w:rsidRDefault="00A743C1">
      <w:pPr>
        <w:pStyle w:val="a5"/>
        <w:spacing w:before="156" w:after="156"/>
        <w:ind w:left="5" w:hanging="5"/>
        <w:rPr>
          <w:rFonts w:ascii="Times New Roman"/>
        </w:rPr>
      </w:pPr>
      <w:bookmarkStart w:id="34" w:name="_Toc493528153"/>
      <w:bookmarkStart w:id="35" w:name="_Toc493513235"/>
      <w:bookmarkStart w:id="36" w:name="_Toc493513116"/>
      <w:r>
        <w:rPr>
          <w:rFonts w:ascii="Times New Roman"/>
        </w:rPr>
        <w:t>育苗设施设备与消毒</w:t>
      </w:r>
      <w:bookmarkEnd w:id="34"/>
      <w:bookmarkEnd w:id="35"/>
      <w:bookmarkEnd w:id="36"/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37" w:name="_Toc493513117"/>
      <w:r>
        <w:rPr>
          <w:rFonts w:ascii="Times New Roman"/>
        </w:rPr>
        <w:t>5.1.1</w:t>
      </w:r>
      <w:r>
        <w:rPr>
          <w:rFonts w:ascii="Times New Roman"/>
        </w:rPr>
        <w:t>育苗设施设备</w:t>
      </w:r>
      <w:bookmarkEnd w:id="37"/>
    </w:p>
    <w:p w:rsidR="004F4D85" w:rsidRDefault="00A743C1">
      <w:pPr>
        <w:autoSpaceDE w:val="0"/>
        <w:autoSpaceDN w:val="0"/>
        <w:adjustRightInd w:val="0"/>
        <w:ind w:firstLine="412"/>
        <w:rPr>
          <w:kern w:val="0"/>
          <w:szCs w:val="21"/>
          <w:lang w:val="zh-CN"/>
        </w:rPr>
      </w:pPr>
      <w:r>
        <w:rPr>
          <w:spacing w:val="-4"/>
          <w:kern w:val="0"/>
          <w:szCs w:val="21"/>
          <w:lang w:val="zh-CN"/>
        </w:rPr>
        <w:t>育苗设施一般为连栋温室、日光温室、塑料大棚等；冬春育苗配</w:t>
      </w:r>
      <w:r>
        <w:rPr>
          <w:kern w:val="0"/>
          <w:szCs w:val="21"/>
          <w:lang w:val="zh-CN"/>
        </w:rPr>
        <w:t>套加温、补光、通风、灌溉等设备，夏秋育苗配套降温、遮阳、通风、灌溉等设备。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38" w:name="_Toc493513118"/>
      <w:r>
        <w:rPr>
          <w:rFonts w:ascii="Times New Roman"/>
        </w:rPr>
        <w:t>5.1.2</w:t>
      </w:r>
      <w:r>
        <w:rPr>
          <w:rFonts w:ascii="Times New Roman"/>
        </w:rPr>
        <w:t>育苗设施设备的消毒</w:t>
      </w:r>
      <w:bookmarkEnd w:id="38"/>
    </w:p>
    <w:p w:rsidR="004F4D85" w:rsidRDefault="00A743C1">
      <w:pPr>
        <w:autoSpaceDE w:val="0"/>
        <w:autoSpaceDN w:val="0"/>
        <w:adjustRightInd w:val="0"/>
        <w:ind w:firstLine="412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育苗场地、拱棚、棚膜、保温被及整个生产环节所用到的器具都要进行消毒。场地棚膜等用多菌灵烟雾剂密闭消毒；</w:t>
      </w:r>
      <w:r>
        <w:rPr>
          <w:kern w:val="0"/>
          <w:szCs w:val="21"/>
          <w:lang w:val="zh-CN"/>
        </w:rPr>
        <w:t xml:space="preserve"> </w:t>
      </w:r>
      <w:r>
        <w:rPr>
          <w:kern w:val="0"/>
          <w:szCs w:val="21"/>
          <w:lang w:val="zh-CN"/>
        </w:rPr>
        <w:t>使用过的基质及操作工具用次氯酸钠（</w:t>
      </w:r>
      <w:r>
        <w:rPr>
          <w:kern w:val="0"/>
          <w:szCs w:val="21"/>
          <w:lang w:val="zh-CN"/>
        </w:rPr>
        <w:t>0.3%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  <w:lang w:val="zh-CN"/>
        </w:rPr>
        <w:t>1.0%</w:t>
      </w:r>
      <w:r>
        <w:rPr>
          <w:kern w:val="0"/>
          <w:szCs w:val="21"/>
          <w:lang w:val="zh-CN"/>
        </w:rPr>
        <w:t>）消毒，方法是将基质及操作工具在水池浸泡半小时以上，然后用清水冲洗，以消除残留氯，并将基质摊开暴晒</w:t>
      </w:r>
      <w:r>
        <w:rPr>
          <w:kern w:val="0"/>
          <w:szCs w:val="21"/>
          <w:lang w:val="zh-CN"/>
        </w:rPr>
        <w:t>2</w:t>
      </w:r>
      <w:r>
        <w:rPr>
          <w:kern w:val="0"/>
          <w:szCs w:val="21"/>
          <w:lang w:val="zh-CN"/>
        </w:rPr>
        <w:t>天后方可使用。</w:t>
      </w:r>
    </w:p>
    <w:p w:rsidR="004F4D85" w:rsidRDefault="00A743C1">
      <w:pPr>
        <w:pStyle w:val="a5"/>
        <w:spacing w:before="156" w:after="156"/>
        <w:ind w:left="5" w:hanging="5"/>
        <w:rPr>
          <w:rFonts w:ascii="Times New Roman"/>
        </w:rPr>
      </w:pPr>
      <w:bookmarkStart w:id="39" w:name="_Toc493513119"/>
      <w:bookmarkStart w:id="40" w:name="_Toc493528154"/>
      <w:bookmarkStart w:id="41" w:name="_Toc493513236"/>
      <w:r>
        <w:rPr>
          <w:rFonts w:ascii="Times New Roman"/>
        </w:rPr>
        <w:t>营养土与基质配制</w:t>
      </w:r>
      <w:bookmarkEnd w:id="39"/>
      <w:bookmarkEnd w:id="40"/>
      <w:bookmarkEnd w:id="41"/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42" w:name="_Toc493513120"/>
      <w:r>
        <w:rPr>
          <w:rFonts w:ascii="Times New Roman"/>
        </w:rPr>
        <w:t>5.2.1</w:t>
      </w:r>
      <w:r>
        <w:rPr>
          <w:rFonts w:ascii="Times New Roman"/>
        </w:rPr>
        <w:t>营养土配制</w:t>
      </w:r>
      <w:bookmarkEnd w:id="42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按无菌土与有机肥</w:t>
      </w:r>
      <w:r>
        <w:rPr>
          <w:kern w:val="0"/>
          <w:szCs w:val="21"/>
        </w:rPr>
        <w:t>6:4</w:t>
      </w:r>
      <w:r>
        <w:rPr>
          <w:kern w:val="0"/>
          <w:szCs w:val="21"/>
          <w:lang w:val="zh-CN"/>
        </w:rPr>
        <w:t>或</w:t>
      </w:r>
      <w:r>
        <w:rPr>
          <w:kern w:val="0"/>
          <w:szCs w:val="21"/>
        </w:rPr>
        <w:t>7:3</w:t>
      </w:r>
      <w:r>
        <w:rPr>
          <w:kern w:val="0"/>
          <w:szCs w:val="21"/>
          <w:lang w:val="zh-CN"/>
        </w:rPr>
        <w:t>的比例配制肥土，每</w:t>
      </w:r>
      <w:r>
        <w:rPr>
          <w:kern w:val="0"/>
          <w:szCs w:val="21"/>
        </w:rPr>
        <w:t>m</w:t>
      </w:r>
      <w:r>
        <w:rPr>
          <w:kern w:val="0"/>
          <w:szCs w:val="21"/>
          <w:vertAlign w:val="superscript"/>
        </w:rPr>
        <w:t>3</w:t>
      </w:r>
      <w:r>
        <w:rPr>
          <w:kern w:val="0"/>
          <w:szCs w:val="21"/>
          <w:lang w:val="zh-CN"/>
        </w:rPr>
        <w:t>肥土加钙镁磷肥</w:t>
      </w:r>
      <w:r>
        <w:rPr>
          <w:kern w:val="0"/>
          <w:szCs w:val="21"/>
          <w:lang w:val="zh-CN"/>
        </w:rPr>
        <w:t xml:space="preserve"> 3 kg</w:t>
      </w:r>
      <w:r>
        <w:rPr>
          <w:kern w:val="0"/>
          <w:szCs w:val="21"/>
          <w:lang w:val="zh-CN"/>
        </w:rPr>
        <w:t>、硫酸钾</w:t>
      </w:r>
      <w:r>
        <w:rPr>
          <w:kern w:val="0"/>
          <w:szCs w:val="21"/>
          <w:lang w:val="zh-CN"/>
        </w:rPr>
        <w:t xml:space="preserve"> 0.3 kg</w:t>
      </w:r>
      <w:r>
        <w:rPr>
          <w:kern w:val="0"/>
          <w:szCs w:val="21"/>
          <w:lang w:val="zh-CN"/>
        </w:rPr>
        <w:t>，充分混匀，配成育苗营养土。育苗营养土所用土壤采自菜园或肥沃大田，所用有机肥</w:t>
      </w:r>
      <w:r>
        <w:rPr>
          <w:rFonts w:hint="eastAsia"/>
          <w:kern w:val="0"/>
          <w:szCs w:val="21"/>
          <w:lang w:val="zh-CN"/>
        </w:rPr>
        <w:t>为</w:t>
      </w:r>
      <w:r>
        <w:rPr>
          <w:kern w:val="0"/>
          <w:szCs w:val="21"/>
          <w:lang w:val="zh-CN"/>
        </w:rPr>
        <w:t>充分腐熟</w:t>
      </w:r>
      <w:r>
        <w:rPr>
          <w:rFonts w:hint="eastAsia"/>
          <w:kern w:val="0"/>
          <w:szCs w:val="21"/>
          <w:lang w:val="zh-CN"/>
        </w:rPr>
        <w:t>的</w:t>
      </w:r>
      <w:r>
        <w:rPr>
          <w:kern w:val="0"/>
          <w:szCs w:val="21"/>
          <w:lang w:val="zh-CN"/>
        </w:rPr>
        <w:t>畜禽粪便或动植物残体。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43" w:name="_Toc493513121"/>
      <w:r>
        <w:rPr>
          <w:rFonts w:ascii="Times New Roman"/>
        </w:rPr>
        <w:t>5.2.2</w:t>
      </w:r>
      <w:r>
        <w:rPr>
          <w:rFonts w:ascii="Times New Roman"/>
        </w:rPr>
        <w:t>基质配制</w:t>
      </w:r>
      <w:bookmarkEnd w:id="43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position w:val="-2"/>
          <w:sz w:val="13"/>
          <w:szCs w:val="13"/>
        </w:rPr>
      </w:pPr>
      <w:r>
        <w:rPr>
          <w:kern w:val="0"/>
          <w:szCs w:val="21"/>
          <w:lang w:val="zh-CN"/>
        </w:rPr>
        <w:t>现代育苗使用</w:t>
      </w:r>
      <w:r>
        <w:rPr>
          <w:spacing w:val="-3"/>
          <w:kern w:val="0"/>
          <w:szCs w:val="21"/>
          <w:lang w:val="zh-CN"/>
        </w:rPr>
        <w:t>草</w:t>
      </w:r>
      <w:r>
        <w:rPr>
          <w:kern w:val="0"/>
          <w:szCs w:val="21"/>
          <w:lang w:val="zh-CN"/>
        </w:rPr>
        <w:t>炭</w:t>
      </w:r>
      <w:r>
        <w:rPr>
          <w:spacing w:val="-3"/>
          <w:kern w:val="0"/>
          <w:szCs w:val="21"/>
          <w:lang w:val="zh-CN"/>
        </w:rPr>
        <w:t>与</w:t>
      </w:r>
      <w:r>
        <w:rPr>
          <w:kern w:val="0"/>
          <w:szCs w:val="21"/>
          <w:lang w:val="zh-CN"/>
        </w:rPr>
        <w:t>珍</w:t>
      </w:r>
      <w:r>
        <w:rPr>
          <w:spacing w:val="-3"/>
          <w:kern w:val="0"/>
          <w:szCs w:val="21"/>
          <w:lang w:val="zh-CN"/>
        </w:rPr>
        <w:t>珠</w:t>
      </w:r>
      <w:r>
        <w:rPr>
          <w:kern w:val="0"/>
          <w:szCs w:val="21"/>
          <w:lang w:val="zh-CN"/>
        </w:rPr>
        <w:t>岩</w:t>
      </w:r>
      <w:r>
        <w:rPr>
          <w:spacing w:val="-3"/>
          <w:kern w:val="0"/>
          <w:szCs w:val="21"/>
          <w:lang w:val="zh-CN"/>
        </w:rPr>
        <w:t>以</w:t>
      </w:r>
      <w:r>
        <w:rPr>
          <w:kern w:val="0"/>
          <w:szCs w:val="21"/>
          <w:lang w:val="zh-CN"/>
        </w:rPr>
        <w:t>体</w:t>
      </w:r>
      <w:r>
        <w:rPr>
          <w:spacing w:val="-3"/>
          <w:kern w:val="0"/>
          <w:szCs w:val="21"/>
          <w:lang w:val="zh-CN"/>
        </w:rPr>
        <w:t>积</w:t>
      </w:r>
      <w:r>
        <w:rPr>
          <w:kern w:val="0"/>
          <w:szCs w:val="21"/>
          <w:lang w:val="zh-CN"/>
        </w:rPr>
        <w:t>比</w:t>
      </w:r>
      <w:r>
        <w:rPr>
          <w:kern w:val="0"/>
          <w:szCs w:val="21"/>
        </w:rPr>
        <w:t>7</w:t>
      </w:r>
      <w:r>
        <w:rPr>
          <w:spacing w:val="-2"/>
          <w:kern w:val="0"/>
          <w:szCs w:val="21"/>
        </w:rPr>
        <w:t>:</w:t>
      </w:r>
      <w:r>
        <w:rPr>
          <w:kern w:val="0"/>
          <w:szCs w:val="21"/>
        </w:rPr>
        <w:t>3</w:t>
      </w:r>
      <w:r>
        <w:rPr>
          <w:spacing w:val="-3"/>
          <w:kern w:val="0"/>
          <w:szCs w:val="21"/>
          <w:lang w:val="zh-CN"/>
        </w:rPr>
        <w:t>配</w:t>
      </w:r>
      <w:r>
        <w:rPr>
          <w:kern w:val="0"/>
          <w:szCs w:val="21"/>
          <w:lang w:val="zh-CN"/>
        </w:rPr>
        <w:t>制的轻质基质，每</w:t>
      </w:r>
      <w:r>
        <w:rPr>
          <w:spacing w:val="-4"/>
          <w:kern w:val="0"/>
          <w:szCs w:val="21"/>
        </w:rPr>
        <w:t>m</w:t>
      </w:r>
      <w:r>
        <w:rPr>
          <w:kern w:val="0"/>
          <w:szCs w:val="21"/>
          <w:vertAlign w:val="superscript"/>
        </w:rPr>
        <w:t>3</w:t>
      </w:r>
      <w:r>
        <w:rPr>
          <w:kern w:val="0"/>
          <w:szCs w:val="21"/>
          <w:lang w:val="zh-CN"/>
        </w:rPr>
        <w:t>基质加入</w:t>
      </w:r>
      <w:r>
        <w:rPr>
          <w:kern w:val="0"/>
          <w:szCs w:val="21"/>
        </w:rPr>
        <w:t>0.8kg 40%</w:t>
      </w:r>
      <w:r>
        <w:rPr>
          <w:kern w:val="0"/>
          <w:szCs w:val="21"/>
          <w:lang w:val="zh-CN"/>
        </w:rPr>
        <w:t>（</w:t>
      </w:r>
      <w:r>
        <w:rPr>
          <w:kern w:val="0"/>
          <w:szCs w:val="21"/>
        </w:rPr>
        <w:t>N-P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O</w:t>
      </w:r>
      <w:r>
        <w:rPr>
          <w:kern w:val="0"/>
          <w:szCs w:val="21"/>
          <w:vertAlign w:val="subscript"/>
        </w:rPr>
        <w:t>5</w:t>
      </w:r>
      <w:r>
        <w:rPr>
          <w:kern w:val="0"/>
          <w:szCs w:val="21"/>
        </w:rPr>
        <w:t>-K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O</w:t>
      </w:r>
      <w:r>
        <w:rPr>
          <w:kern w:val="0"/>
          <w:szCs w:val="21"/>
        </w:rPr>
        <w:t>：</w:t>
      </w:r>
      <w:r>
        <w:rPr>
          <w:kern w:val="0"/>
          <w:szCs w:val="21"/>
        </w:rPr>
        <w:t>20-10-20</w:t>
      </w:r>
      <w:r>
        <w:rPr>
          <w:kern w:val="0"/>
          <w:szCs w:val="21"/>
          <w:lang w:val="zh-CN"/>
        </w:rPr>
        <w:t>）或</w:t>
      </w:r>
      <w:r>
        <w:rPr>
          <w:kern w:val="0"/>
          <w:szCs w:val="21"/>
        </w:rPr>
        <w:t>1.2kg 45%</w:t>
      </w:r>
      <w:r>
        <w:rPr>
          <w:kern w:val="0"/>
          <w:szCs w:val="21"/>
          <w:lang w:val="zh-CN"/>
        </w:rPr>
        <w:t>（</w:t>
      </w:r>
      <w:r>
        <w:rPr>
          <w:kern w:val="0"/>
          <w:szCs w:val="21"/>
        </w:rPr>
        <w:t>N-P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O</w:t>
      </w:r>
      <w:r>
        <w:rPr>
          <w:kern w:val="0"/>
          <w:szCs w:val="21"/>
          <w:vertAlign w:val="subscript"/>
        </w:rPr>
        <w:t>5</w:t>
      </w:r>
      <w:r>
        <w:rPr>
          <w:kern w:val="0"/>
          <w:szCs w:val="21"/>
        </w:rPr>
        <w:t>-K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O  15-15-15</w:t>
      </w:r>
      <w:r>
        <w:rPr>
          <w:kern w:val="0"/>
          <w:szCs w:val="21"/>
          <w:lang w:val="zh-CN"/>
        </w:rPr>
        <w:t>）复合肥</w:t>
      </w:r>
      <w:r>
        <w:rPr>
          <w:kern w:val="0"/>
          <w:position w:val="-2"/>
          <w:szCs w:val="21"/>
          <w:lang w:val="zh-CN"/>
        </w:rPr>
        <w:t>，混合均匀。也可根据不</w:t>
      </w:r>
      <w:r>
        <w:rPr>
          <w:spacing w:val="-1"/>
          <w:kern w:val="0"/>
          <w:position w:val="-2"/>
          <w:szCs w:val="21"/>
          <w:lang w:val="zh-CN"/>
        </w:rPr>
        <w:t>同地区育苗实际自行配制育苗基质，如草炭</w:t>
      </w:r>
      <w:r>
        <w:rPr>
          <w:spacing w:val="-1"/>
          <w:kern w:val="0"/>
          <w:position w:val="-2"/>
          <w:szCs w:val="21"/>
        </w:rPr>
        <w:t>7</w:t>
      </w:r>
      <w:r>
        <w:rPr>
          <w:spacing w:val="-1"/>
          <w:kern w:val="0"/>
          <w:position w:val="-2"/>
          <w:szCs w:val="21"/>
          <w:lang w:val="zh-CN"/>
        </w:rPr>
        <w:t>份，珍珠岩</w:t>
      </w:r>
      <w:r>
        <w:rPr>
          <w:spacing w:val="-1"/>
          <w:kern w:val="0"/>
          <w:position w:val="-2"/>
          <w:szCs w:val="21"/>
        </w:rPr>
        <w:t>2</w:t>
      </w:r>
      <w:r>
        <w:rPr>
          <w:spacing w:val="-1"/>
          <w:kern w:val="0"/>
          <w:position w:val="-2"/>
          <w:szCs w:val="21"/>
          <w:lang w:val="zh-CN"/>
        </w:rPr>
        <w:t>份，充分发酵后的有机肥</w:t>
      </w:r>
      <w:r>
        <w:rPr>
          <w:spacing w:val="-1"/>
          <w:kern w:val="0"/>
          <w:position w:val="-2"/>
          <w:szCs w:val="21"/>
        </w:rPr>
        <w:t>1</w:t>
      </w:r>
      <w:r>
        <w:rPr>
          <w:spacing w:val="-1"/>
          <w:kern w:val="0"/>
          <w:position w:val="-2"/>
          <w:szCs w:val="21"/>
          <w:lang w:val="zh-CN"/>
        </w:rPr>
        <w:t>份，充分混匀</w:t>
      </w:r>
      <w:r>
        <w:rPr>
          <w:kern w:val="0"/>
          <w:position w:val="-2"/>
          <w:szCs w:val="21"/>
          <w:lang w:val="zh-CN"/>
        </w:rPr>
        <w:t>。</w:t>
      </w:r>
    </w:p>
    <w:p w:rsidR="004F4D85" w:rsidRDefault="00A743C1">
      <w:pPr>
        <w:pStyle w:val="a5"/>
        <w:spacing w:before="156" w:after="156"/>
        <w:ind w:left="5" w:hanging="5"/>
        <w:rPr>
          <w:rFonts w:ascii="Times New Roman"/>
        </w:rPr>
      </w:pPr>
      <w:bookmarkStart w:id="44" w:name="_Toc493528155"/>
      <w:bookmarkStart w:id="45" w:name="_Toc493513237"/>
      <w:bookmarkStart w:id="46" w:name="_Toc493513122"/>
      <w:r>
        <w:rPr>
          <w:rFonts w:ascii="Times New Roman"/>
        </w:rPr>
        <w:t>种子处理</w:t>
      </w:r>
      <w:bookmarkEnd w:id="44"/>
      <w:bookmarkEnd w:id="45"/>
      <w:bookmarkEnd w:id="46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position w:val="-2"/>
          <w:szCs w:val="21"/>
          <w:lang w:val="zh-CN"/>
        </w:rPr>
      </w:pPr>
      <w:r>
        <w:rPr>
          <w:kern w:val="0"/>
          <w:position w:val="-2"/>
          <w:szCs w:val="21"/>
          <w:lang w:val="zh-CN"/>
        </w:rPr>
        <w:t>种子质量应符合</w:t>
      </w:r>
      <w:r>
        <w:rPr>
          <w:kern w:val="0"/>
          <w:position w:val="-2"/>
          <w:szCs w:val="21"/>
          <w:lang w:val="zh-CN"/>
        </w:rPr>
        <w:t>GB16715.1</w:t>
      </w:r>
      <w:r>
        <w:rPr>
          <w:kern w:val="0"/>
          <w:position w:val="-2"/>
          <w:szCs w:val="21"/>
          <w:lang w:val="zh-CN"/>
        </w:rPr>
        <w:t>要求。依品种及其千粒重的差异，每亩用种量为</w:t>
      </w:r>
      <w:r>
        <w:rPr>
          <w:kern w:val="0"/>
          <w:position w:val="-2"/>
          <w:szCs w:val="21"/>
          <w:lang w:val="zh-CN"/>
        </w:rPr>
        <w:t>90g</w:t>
      </w:r>
      <w:r>
        <w:rPr>
          <w:kern w:val="0"/>
          <w:position w:val="-2"/>
          <w:szCs w:val="21"/>
          <w:lang w:val="zh-CN"/>
        </w:rPr>
        <w:t>～</w:t>
      </w:r>
      <w:r>
        <w:rPr>
          <w:kern w:val="0"/>
          <w:position w:val="-2"/>
          <w:szCs w:val="21"/>
          <w:lang w:val="zh-CN"/>
        </w:rPr>
        <w:t>120g</w:t>
      </w:r>
      <w:r>
        <w:rPr>
          <w:kern w:val="0"/>
          <w:position w:val="-2"/>
          <w:szCs w:val="21"/>
          <w:lang w:val="zh-CN"/>
        </w:rPr>
        <w:t>，浸种前去除瘪粒、小粒、破损粒和杂质，室内晾晒</w:t>
      </w:r>
      <w:r>
        <w:rPr>
          <w:kern w:val="0"/>
          <w:position w:val="-2"/>
          <w:szCs w:val="21"/>
          <w:lang w:val="zh-CN"/>
        </w:rPr>
        <w:t>2d</w:t>
      </w:r>
      <w:r>
        <w:rPr>
          <w:kern w:val="0"/>
          <w:position w:val="-2"/>
          <w:szCs w:val="21"/>
          <w:lang w:val="zh-CN"/>
        </w:rPr>
        <w:t>。</w:t>
      </w:r>
      <w:r>
        <w:rPr>
          <w:kern w:val="0"/>
          <w:position w:val="-2"/>
          <w:szCs w:val="21"/>
          <w:lang w:val="zh-CN"/>
        </w:rPr>
        <w:t xml:space="preserve"> 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47" w:name="_Toc493528156"/>
      <w:bookmarkStart w:id="48" w:name="_Toc493513123"/>
      <w:bookmarkStart w:id="49" w:name="_Toc493513238"/>
      <w:r>
        <w:rPr>
          <w:rFonts w:ascii="Times New Roman"/>
        </w:rPr>
        <w:t>浸种催芽</w:t>
      </w:r>
      <w:bookmarkEnd w:id="47"/>
      <w:bookmarkEnd w:id="48"/>
      <w:bookmarkEnd w:id="49"/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50" w:name="_Toc493513124"/>
      <w:r>
        <w:rPr>
          <w:rFonts w:ascii="Times New Roman"/>
        </w:rPr>
        <w:t>5.4.1</w:t>
      </w:r>
      <w:r>
        <w:rPr>
          <w:rFonts w:ascii="Times New Roman"/>
        </w:rPr>
        <w:t>浸种</w:t>
      </w:r>
      <w:bookmarkEnd w:id="50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position w:val="-2"/>
          <w:szCs w:val="21"/>
          <w:lang w:val="zh-CN"/>
        </w:rPr>
      </w:pPr>
      <w:r>
        <w:rPr>
          <w:kern w:val="0"/>
          <w:position w:val="-2"/>
          <w:szCs w:val="21"/>
          <w:lang w:val="zh-CN"/>
        </w:rPr>
        <w:t>温汤浸种：在</w:t>
      </w:r>
      <w:r>
        <w:rPr>
          <w:kern w:val="0"/>
          <w:position w:val="-2"/>
          <w:szCs w:val="21"/>
          <w:lang w:val="zh-CN"/>
        </w:rPr>
        <w:t>50℃</w:t>
      </w:r>
      <w:r>
        <w:rPr>
          <w:kern w:val="0"/>
          <w:position w:val="-2"/>
          <w:szCs w:val="21"/>
          <w:lang w:val="zh-CN"/>
        </w:rPr>
        <w:t>～</w:t>
      </w:r>
      <w:r>
        <w:rPr>
          <w:kern w:val="0"/>
          <w:position w:val="-2"/>
          <w:szCs w:val="21"/>
          <w:lang w:val="zh-CN"/>
        </w:rPr>
        <w:t>55℃</w:t>
      </w:r>
      <w:r>
        <w:rPr>
          <w:kern w:val="0"/>
          <w:position w:val="-2"/>
          <w:szCs w:val="21"/>
          <w:lang w:val="zh-CN"/>
        </w:rPr>
        <w:t>热水中浸种</w:t>
      </w:r>
      <w:r>
        <w:rPr>
          <w:kern w:val="0"/>
          <w:position w:val="-2"/>
          <w:szCs w:val="21"/>
          <w:lang w:val="zh-CN"/>
        </w:rPr>
        <w:t>15min</w:t>
      </w:r>
      <w:r>
        <w:rPr>
          <w:kern w:val="0"/>
          <w:position w:val="-2"/>
          <w:szCs w:val="21"/>
          <w:lang w:val="zh-CN"/>
        </w:rPr>
        <w:t>～</w:t>
      </w:r>
      <w:r>
        <w:rPr>
          <w:kern w:val="0"/>
          <w:position w:val="-2"/>
          <w:szCs w:val="21"/>
          <w:lang w:val="zh-CN"/>
        </w:rPr>
        <w:t>20min</w:t>
      </w:r>
      <w:r>
        <w:rPr>
          <w:kern w:val="0"/>
          <w:position w:val="-2"/>
          <w:szCs w:val="21"/>
          <w:lang w:val="zh-CN"/>
        </w:rPr>
        <w:t>，不停地搅拌，再用</w:t>
      </w:r>
      <w:r>
        <w:rPr>
          <w:kern w:val="0"/>
          <w:position w:val="-2"/>
          <w:szCs w:val="21"/>
          <w:lang w:val="zh-CN"/>
        </w:rPr>
        <w:t>30℃</w:t>
      </w:r>
      <w:r>
        <w:rPr>
          <w:kern w:val="0"/>
          <w:position w:val="-2"/>
          <w:szCs w:val="21"/>
          <w:lang w:val="zh-CN"/>
        </w:rPr>
        <w:t>温水浸种</w:t>
      </w:r>
      <w:r>
        <w:rPr>
          <w:kern w:val="0"/>
          <w:position w:val="-2"/>
          <w:szCs w:val="21"/>
          <w:lang w:val="zh-CN"/>
        </w:rPr>
        <w:t xml:space="preserve">6 </w:t>
      </w:r>
      <w:r>
        <w:rPr>
          <w:kern w:val="0"/>
          <w:position w:val="-2"/>
          <w:szCs w:val="21"/>
          <w:lang w:val="zh-CN"/>
        </w:rPr>
        <w:lastRenderedPageBreak/>
        <w:t>h</w:t>
      </w:r>
      <w:r>
        <w:rPr>
          <w:kern w:val="0"/>
          <w:position w:val="-2"/>
          <w:szCs w:val="21"/>
          <w:lang w:val="zh-CN"/>
        </w:rPr>
        <w:t>～</w:t>
      </w:r>
      <w:r>
        <w:rPr>
          <w:kern w:val="0"/>
          <w:position w:val="-2"/>
          <w:szCs w:val="21"/>
          <w:lang w:val="zh-CN"/>
        </w:rPr>
        <w:t>8 h</w:t>
      </w:r>
      <w:r>
        <w:rPr>
          <w:kern w:val="0"/>
          <w:position w:val="-2"/>
          <w:szCs w:val="21"/>
          <w:lang w:val="zh-CN"/>
        </w:rPr>
        <w:t>，反复搓去种子表面上的杂质，清洗干净催芽。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51" w:name="_Toc493513125"/>
      <w:r>
        <w:rPr>
          <w:rFonts w:ascii="Times New Roman"/>
        </w:rPr>
        <w:t>5.4.2</w:t>
      </w:r>
      <w:r>
        <w:rPr>
          <w:rFonts w:ascii="Times New Roman"/>
        </w:rPr>
        <w:t>催芽</w:t>
      </w:r>
      <w:bookmarkEnd w:id="51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position w:val="-2"/>
          <w:szCs w:val="21"/>
          <w:lang w:val="zh-CN"/>
        </w:rPr>
      </w:pPr>
      <w:r>
        <w:rPr>
          <w:kern w:val="0"/>
          <w:position w:val="-2"/>
          <w:szCs w:val="21"/>
          <w:lang w:val="zh-CN"/>
        </w:rPr>
        <w:t>浸种后保持种子湿润，在</w:t>
      </w:r>
      <w:r>
        <w:rPr>
          <w:kern w:val="0"/>
          <w:position w:val="-2"/>
          <w:szCs w:val="21"/>
          <w:lang w:val="zh-CN"/>
        </w:rPr>
        <w:t>28℃</w:t>
      </w:r>
      <w:r>
        <w:rPr>
          <w:kern w:val="0"/>
          <w:position w:val="-2"/>
          <w:szCs w:val="21"/>
          <w:lang w:val="zh-CN"/>
        </w:rPr>
        <w:t>～</w:t>
      </w:r>
      <w:r>
        <w:rPr>
          <w:kern w:val="0"/>
          <w:position w:val="-2"/>
          <w:szCs w:val="21"/>
          <w:lang w:val="zh-CN"/>
        </w:rPr>
        <w:t>30℃</w:t>
      </w:r>
      <w:r>
        <w:rPr>
          <w:kern w:val="0"/>
          <w:position w:val="-2"/>
          <w:szCs w:val="21"/>
          <w:lang w:val="zh-CN"/>
        </w:rPr>
        <w:t>催芽</w:t>
      </w:r>
      <w:r>
        <w:rPr>
          <w:kern w:val="0"/>
          <w:position w:val="-2"/>
          <w:szCs w:val="21"/>
          <w:lang w:val="zh-CN"/>
        </w:rPr>
        <w:t>18 h</w:t>
      </w:r>
      <w:r>
        <w:rPr>
          <w:kern w:val="0"/>
          <w:position w:val="-2"/>
          <w:szCs w:val="21"/>
          <w:lang w:val="zh-CN"/>
        </w:rPr>
        <w:t>左右，其间清洗</w:t>
      </w:r>
      <w:r>
        <w:rPr>
          <w:kern w:val="0"/>
          <w:position w:val="-2"/>
          <w:szCs w:val="21"/>
          <w:lang w:val="zh-CN"/>
        </w:rPr>
        <w:t>1</w:t>
      </w:r>
      <w:r>
        <w:rPr>
          <w:kern w:val="0"/>
          <w:position w:val="-2"/>
          <w:szCs w:val="21"/>
          <w:lang w:val="zh-CN"/>
        </w:rPr>
        <w:t>～</w:t>
      </w:r>
      <w:r>
        <w:rPr>
          <w:kern w:val="0"/>
          <w:position w:val="-2"/>
          <w:szCs w:val="21"/>
          <w:lang w:val="zh-CN"/>
        </w:rPr>
        <w:t>2</w:t>
      </w:r>
      <w:r>
        <w:rPr>
          <w:kern w:val="0"/>
          <w:position w:val="-2"/>
          <w:szCs w:val="21"/>
          <w:lang w:val="zh-CN"/>
        </w:rPr>
        <w:t>次，至种子</w:t>
      </w:r>
      <w:r>
        <w:rPr>
          <w:kern w:val="0"/>
          <w:position w:val="-2"/>
          <w:szCs w:val="21"/>
          <w:lang w:val="zh-CN"/>
        </w:rPr>
        <w:t>70%</w:t>
      </w:r>
      <w:r>
        <w:rPr>
          <w:kern w:val="0"/>
          <w:position w:val="-2"/>
          <w:szCs w:val="21"/>
          <w:lang w:val="zh-CN"/>
        </w:rPr>
        <w:t>露白时播种。</w:t>
      </w:r>
    </w:p>
    <w:p w:rsidR="004F4D85" w:rsidRDefault="00A743C1">
      <w:pPr>
        <w:pStyle w:val="a5"/>
        <w:spacing w:before="156" w:after="156"/>
        <w:ind w:left="5" w:hanging="5"/>
        <w:rPr>
          <w:rFonts w:ascii="Times New Roman"/>
        </w:rPr>
      </w:pPr>
      <w:bookmarkStart w:id="52" w:name="_Toc493513126"/>
      <w:bookmarkStart w:id="53" w:name="_Toc493513239"/>
      <w:bookmarkStart w:id="54" w:name="_Toc493528157"/>
      <w:r>
        <w:rPr>
          <w:rFonts w:ascii="Times New Roman"/>
        </w:rPr>
        <w:t>播种</w:t>
      </w:r>
      <w:bookmarkEnd w:id="52"/>
      <w:bookmarkEnd w:id="53"/>
      <w:bookmarkEnd w:id="54"/>
    </w:p>
    <w:p w:rsidR="004F4D85" w:rsidRDefault="00A743C1">
      <w:pPr>
        <w:tabs>
          <w:tab w:val="left" w:pos="433"/>
        </w:tabs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用穴盘或营养钵育苗。播种前准备好苗床，苗床宽</w:t>
      </w:r>
      <w:r>
        <w:rPr>
          <w:kern w:val="0"/>
          <w:szCs w:val="21"/>
        </w:rPr>
        <w:t>1.2m</w:t>
      </w:r>
      <w:r>
        <w:rPr>
          <w:kern w:val="0"/>
          <w:szCs w:val="21"/>
          <w:lang w:val="zh-CN"/>
        </w:rPr>
        <w:t>，一般用</w:t>
      </w:r>
      <w:r>
        <w:rPr>
          <w:kern w:val="0"/>
          <w:szCs w:val="21"/>
        </w:rPr>
        <w:t>72</w:t>
      </w:r>
      <w:r>
        <w:rPr>
          <w:kern w:val="0"/>
          <w:szCs w:val="21"/>
          <w:lang w:val="zh-CN"/>
        </w:rPr>
        <w:t>孔的标准穴盘，嫁接育苗用</w:t>
      </w:r>
      <w:r>
        <w:rPr>
          <w:kern w:val="0"/>
          <w:szCs w:val="21"/>
        </w:rPr>
        <w:t>50</w:t>
      </w:r>
      <w:r>
        <w:rPr>
          <w:kern w:val="0"/>
          <w:szCs w:val="21"/>
          <w:lang w:val="zh-CN"/>
        </w:rPr>
        <w:t>孔育苗穴盘，或用</w:t>
      </w:r>
      <w:r>
        <w:rPr>
          <w:kern w:val="0"/>
          <w:szCs w:val="21"/>
        </w:rPr>
        <w:t xml:space="preserve">8 cm×8cm </w:t>
      </w:r>
      <w:r>
        <w:rPr>
          <w:kern w:val="0"/>
          <w:szCs w:val="21"/>
          <w:lang w:val="zh-CN"/>
        </w:rPr>
        <w:t>营养钵，每</w:t>
      </w:r>
      <w:r>
        <w:rPr>
          <w:kern w:val="0"/>
          <w:szCs w:val="21"/>
        </w:rPr>
        <w:t>亩</w:t>
      </w:r>
      <w:r>
        <w:rPr>
          <w:kern w:val="0"/>
          <w:szCs w:val="21"/>
          <w:lang w:val="zh-CN"/>
        </w:rPr>
        <w:t>黄瓜需备苗床</w:t>
      </w:r>
      <w:r>
        <w:rPr>
          <w:kern w:val="0"/>
          <w:szCs w:val="21"/>
        </w:rPr>
        <w:t>10 m</w:t>
      </w:r>
      <w:r>
        <w:rPr>
          <w:kern w:val="0"/>
          <w:szCs w:val="21"/>
          <w:vertAlign w:val="superscript"/>
        </w:rPr>
        <w:t>2</w:t>
      </w:r>
      <w:r>
        <w:rPr>
          <w:kern w:val="0"/>
          <w:szCs w:val="21"/>
          <w:lang w:val="zh-CN"/>
        </w:rPr>
        <w:t>。营养土或基质装盘（钵）时略低于育苗孔或营养钵，每穴（钵）播种</w:t>
      </w:r>
      <w:r>
        <w:rPr>
          <w:kern w:val="0"/>
          <w:szCs w:val="21"/>
        </w:rPr>
        <w:t>1</w:t>
      </w:r>
      <w:r>
        <w:rPr>
          <w:kern w:val="0"/>
          <w:szCs w:val="21"/>
          <w:lang w:val="zh-CN"/>
        </w:rPr>
        <w:t>粒，将种子平放，芽尖向下，播完后均匀地浇足底水，再覆盖</w:t>
      </w:r>
      <w:r>
        <w:rPr>
          <w:kern w:val="0"/>
          <w:szCs w:val="21"/>
        </w:rPr>
        <w:t>0.5 cm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 cm</w:t>
      </w:r>
      <w:r>
        <w:rPr>
          <w:kern w:val="0"/>
          <w:szCs w:val="21"/>
          <w:lang w:val="zh-CN"/>
        </w:rPr>
        <w:t>的营养土，覆盖薄膜或遮阳网保湿。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55" w:name="_Toc493513240"/>
      <w:bookmarkStart w:id="56" w:name="_Toc493528158"/>
      <w:bookmarkStart w:id="57" w:name="_Toc493513127"/>
      <w:r>
        <w:rPr>
          <w:rFonts w:ascii="Times New Roman"/>
        </w:rPr>
        <w:t>苗期管理</w:t>
      </w:r>
      <w:bookmarkEnd w:id="55"/>
      <w:bookmarkEnd w:id="56"/>
      <w:bookmarkEnd w:id="57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 w:val="26"/>
          <w:szCs w:val="26"/>
        </w:rPr>
      </w:pPr>
      <w:r>
        <w:rPr>
          <w:kern w:val="0"/>
          <w:szCs w:val="21"/>
          <w:lang w:val="zh-CN"/>
        </w:rPr>
        <w:t>春提早黄瓜播种</w:t>
      </w:r>
      <w:r>
        <w:rPr>
          <w:kern w:val="0"/>
          <w:szCs w:val="21"/>
        </w:rPr>
        <w:t>2 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3 d</w:t>
      </w:r>
      <w:r>
        <w:rPr>
          <w:kern w:val="0"/>
          <w:szCs w:val="21"/>
          <w:lang w:val="zh-CN"/>
        </w:rPr>
        <w:t>出苗后立即揭去地膜，搭小拱棚保温、保湿，白天控制在</w:t>
      </w:r>
      <w:r>
        <w:rPr>
          <w:kern w:val="0"/>
          <w:szCs w:val="21"/>
        </w:rPr>
        <w:t>20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28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，夜温控制在</w:t>
      </w:r>
      <w:r>
        <w:rPr>
          <w:kern w:val="0"/>
          <w:szCs w:val="21"/>
        </w:rPr>
        <w:t>15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18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；夏秋育苗加盖遮阳网降温，保持土壤湿润，浇水宜在清晨进行。幼苗</w:t>
      </w:r>
      <w:r>
        <w:rPr>
          <w:kern w:val="0"/>
          <w:szCs w:val="21"/>
        </w:rPr>
        <w:t>2</w:t>
      </w:r>
      <w:r>
        <w:rPr>
          <w:kern w:val="0"/>
          <w:szCs w:val="21"/>
          <w:lang w:val="zh-CN"/>
        </w:rPr>
        <w:t>叶时叶面喷</w:t>
      </w:r>
      <w:r>
        <w:rPr>
          <w:kern w:val="0"/>
          <w:szCs w:val="21"/>
        </w:rPr>
        <w:t>0.2%</w:t>
      </w:r>
      <w:r>
        <w:rPr>
          <w:kern w:val="0"/>
          <w:szCs w:val="21"/>
          <w:lang w:val="zh-CN"/>
        </w:rPr>
        <w:t>磷酸二氢钾。定植前</w:t>
      </w:r>
      <w:r>
        <w:rPr>
          <w:kern w:val="0"/>
          <w:szCs w:val="21"/>
        </w:rPr>
        <w:t>7 d</w:t>
      </w:r>
      <w:r>
        <w:rPr>
          <w:kern w:val="0"/>
          <w:szCs w:val="21"/>
          <w:lang w:val="zh-CN"/>
        </w:rPr>
        <w:t>控制水分。春季苗龄</w:t>
      </w:r>
      <w:r>
        <w:rPr>
          <w:kern w:val="0"/>
          <w:szCs w:val="21"/>
        </w:rPr>
        <w:t>30 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35 d</w:t>
      </w:r>
      <w:r>
        <w:rPr>
          <w:kern w:val="0"/>
          <w:szCs w:val="21"/>
          <w:lang w:val="zh-CN"/>
        </w:rPr>
        <w:t>、</w:t>
      </w:r>
      <w:r>
        <w:rPr>
          <w:kern w:val="0"/>
          <w:szCs w:val="21"/>
        </w:rPr>
        <w:t>3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4</w:t>
      </w:r>
      <w:r>
        <w:rPr>
          <w:kern w:val="0"/>
          <w:szCs w:val="21"/>
          <w:lang w:val="zh-CN"/>
        </w:rPr>
        <w:t>叶一心，夏秋季苗龄</w:t>
      </w:r>
      <w:r>
        <w:rPr>
          <w:kern w:val="0"/>
          <w:szCs w:val="21"/>
        </w:rPr>
        <w:t>15 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20 d</w:t>
      </w:r>
      <w:r>
        <w:rPr>
          <w:kern w:val="0"/>
          <w:szCs w:val="21"/>
          <w:lang w:val="zh-CN"/>
        </w:rPr>
        <w:t>、</w:t>
      </w:r>
      <w:r>
        <w:rPr>
          <w:kern w:val="0"/>
          <w:szCs w:val="21"/>
        </w:rPr>
        <w:t>2</w:t>
      </w:r>
      <w:r>
        <w:rPr>
          <w:kern w:val="0"/>
          <w:szCs w:val="21"/>
          <w:lang w:val="zh-CN"/>
        </w:rPr>
        <w:t>叶一心，即可定植。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58" w:name="_Toc493513241"/>
      <w:bookmarkStart w:id="59" w:name="_Toc493513128"/>
      <w:bookmarkStart w:id="60" w:name="_Toc493528159"/>
      <w:r>
        <w:rPr>
          <w:rFonts w:ascii="Times New Roman"/>
        </w:rPr>
        <w:t>嫁接育苗</w:t>
      </w:r>
      <w:bookmarkEnd w:id="58"/>
      <w:bookmarkEnd w:id="59"/>
      <w:bookmarkEnd w:id="60"/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61" w:name="_Toc493513129"/>
      <w:r>
        <w:rPr>
          <w:rFonts w:ascii="Times New Roman"/>
        </w:rPr>
        <w:t>5.7.1</w:t>
      </w:r>
      <w:r>
        <w:rPr>
          <w:rFonts w:ascii="Times New Roman"/>
        </w:rPr>
        <w:t>嫁接砧木</w:t>
      </w:r>
      <w:bookmarkEnd w:id="61"/>
    </w:p>
    <w:p w:rsidR="004F4D85" w:rsidRDefault="00A743C1">
      <w:pPr>
        <w:tabs>
          <w:tab w:val="left" w:pos="644"/>
        </w:tabs>
        <w:autoSpaceDE w:val="0"/>
        <w:autoSpaceDN w:val="0"/>
        <w:adjustRightInd w:val="0"/>
        <w:spacing w:before="1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嫁接育苗以黑籽南瓜做砧木，采用插接、靠接或贴接进行嫁接育苗。插接法黄瓜晚播</w:t>
      </w:r>
      <w:r>
        <w:rPr>
          <w:kern w:val="0"/>
          <w:szCs w:val="21"/>
          <w:lang w:val="zh-CN"/>
        </w:rPr>
        <w:t>3</w:t>
      </w:r>
      <w:r>
        <w:rPr>
          <w:kern w:val="0"/>
          <w:szCs w:val="21"/>
        </w:rPr>
        <w:t xml:space="preserve"> 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  <w:lang w:val="zh-CN"/>
        </w:rPr>
        <w:t>5</w:t>
      </w:r>
      <w:r>
        <w:rPr>
          <w:kern w:val="0"/>
          <w:szCs w:val="21"/>
        </w:rPr>
        <w:t xml:space="preserve"> d</w:t>
      </w:r>
      <w:r>
        <w:rPr>
          <w:kern w:val="0"/>
          <w:szCs w:val="21"/>
          <w:lang w:val="zh-CN"/>
        </w:rPr>
        <w:t>，采用顶插接；靠接或贴接法黄瓜先播种</w:t>
      </w:r>
      <w:r>
        <w:rPr>
          <w:kern w:val="0"/>
          <w:szCs w:val="21"/>
        </w:rPr>
        <w:t>5d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7d</w:t>
      </w:r>
      <w:r>
        <w:rPr>
          <w:kern w:val="0"/>
          <w:szCs w:val="21"/>
        </w:rPr>
        <w:t>，嫁接后的苗栽植于营养钵中</w:t>
      </w:r>
      <w:r>
        <w:rPr>
          <w:kern w:val="0"/>
          <w:szCs w:val="21"/>
          <w:lang w:val="zh-CN"/>
        </w:rPr>
        <w:t>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62" w:name="_Toc493513130"/>
      <w:r>
        <w:rPr>
          <w:rFonts w:ascii="Times New Roman"/>
        </w:rPr>
        <w:t>5.7.2</w:t>
      </w:r>
      <w:r>
        <w:rPr>
          <w:rFonts w:ascii="Times New Roman"/>
        </w:rPr>
        <w:t>嫁接方法</w:t>
      </w:r>
      <w:bookmarkEnd w:id="62"/>
    </w:p>
    <w:p w:rsidR="004F4D85" w:rsidRDefault="00A743C1">
      <w:pPr>
        <w:pStyle w:val="a7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>5.7.2.1</w:t>
      </w:r>
      <w:r>
        <w:rPr>
          <w:rFonts w:ascii="Times New Roman"/>
        </w:rPr>
        <w:t>靠接</w:t>
      </w:r>
      <w:r>
        <w:rPr>
          <w:rFonts w:ascii="Times New Roman"/>
        </w:rPr>
        <w:tab/>
      </w:r>
    </w:p>
    <w:p w:rsidR="004F4D85" w:rsidRDefault="00A743C1">
      <w:pPr>
        <w:tabs>
          <w:tab w:val="left" w:pos="644"/>
        </w:tabs>
        <w:autoSpaceDE w:val="0"/>
        <w:autoSpaceDN w:val="0"/>
        <w:adjustRightInd w:val="0"/>
        <w:spacing w:before="1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待南瓜播种</w:t>
      </w:r>
      <w:r>
        <w:rPr>
          <w:kern w:val="0"/>
          <w:szCs w:val="21"/>
        </w:rPr>
        <w:t>10 d</w:t>
      </w:r>
      <w:r>
        <w:rPr>
          <w:kern w:val="0"/>
          <w:szCs w:val="21"/>
          <w:lang w:val="zh-CN"/>
        </w:rPr>
        <w:t>左右第一片真叶初展，黄瓜播种</w:t>
      </w:r>
      <w:r>
        <w:rPr>
          <w:kern w:val="0"/>
          <w:szCs w:val="21"/>
        </w:rPr>
        <w:t>15d</w:t>
      </w:r>
      <w:r>
        <w:rPr>
          <w:kern w:val="0"/>
          <w:szCs w:val="21"/>
          <w:lang w:val="zh-CN"/>
        </w:rPr>
        <w:t>左右开始嫁接。挖出南瓜和黄瓜幼苗，去掉南瓜顶心，用刀片在南瓜生长点下</w:t>
      </w:r>
      <w:r>
        <w:rPr>
          <w:kern w:val="0"/>
          <w:szCs w:val="21"/>
        </w:rPr>
        <w:t>0.5cm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1cm</w:t>
      </w:r>
      <w:r>
        <w:rPr>
          <w:kern w:val="0"/>
          <w:szCs w:val="21"/>
          <w:lang w:val="zh-CN"/>
        </w:rPr>
        <w:t>处向下斜切一刀，角度</w:t>
      </w:r>
      <w:r>
        <w:rPr>
          <w:kern w:val="0"/>
          <w:szCs w:val="21"/>
        </w:rPr>
        <w:t>35°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40°</w:t>
      </w:r>
      <w:r>
        <w:rPr>
          <w:kern w:val="0"/>
          <w:szCs w:val="21"/>
          <w:lang w:val="zh-CN"/>
        </w:rPr>
        <w:t>，深为茎粗的</w:t>
      </w:r>
      <w:r>
        <w:rPr>
          <w:kern w:val="0"/>
          <w:szCs w:val="21"/>
        </w:rPr>
        <w:t>2/5</w:t>
      </w:r>
      <w:r>
        <w:rPr>
          <w:kern w:val="0"/>
          <w:szCs w:val="21"/>
          <w:lang w:val="zh-CN"/>
        </w:rPr>
        <w:t>，在黄瓜生长点下</w:t>
      </w:r>
      <w:r>
        <w:rPr>
          <w:kern w:val="0"/>
          <w:szCs w:val="21"/>
        </w:rPr>
        <w:t>1cm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1.2cm</w:t>
      </w:r>
      <w:r>
        <w:rPr>
          <w:kern w:val="0"/>
          <w:szCs w:val="21"/>
          <w:lang w:val="zh-CN"/>
        </w:rPr>
        <w:t>处向上斜切一刀，角度</w:t>
      </w:r>
      <w:r>
        <w:rPr>
          <w:kern w:val="0"/>
          <w:szCs w:val="21"/>
        </w:rPr>
        <w:t>30°</w:t>
      </w:r>
      <w:r>
        <w:rPr>
          <w:kern w:val="0"/>
          <w:szCs w:val="21"/>
        </w:rPr>
        <w:t>左右</w:t>
      </w:r>
      <w:r>
        <w:rPr>
          <w:kern w:val="0"/>
          <w:szCs w:val="21"/>
          <w:lang w:val="zh-CN"/>
        </w:rPr>
        <w:t>，深为茎粗的</w:t>
      </w:r>
      <w:r>
        <w:rPr>
          <w:kern w:val="0"/>
          <w:szCs w:val="21"/>
        </w:rPr>
        <w:t>3/5</w:t>
      </w:r>
      <w:r>
        <w:rPr>
          <w:kern w:val="0"/>
          <w:szCs w:val="21"/>
          <w:lang w:val="zh-CN"/>
        </w:rPr>
        <w:t>，然后接合，砧木子叶与接穗子叶交叉成</w:t>
      </w:r>
      <w:r>
        <w:rPr>
          <w:kern w:val="0"/>
          <w:szCs w:val="21"/>
          <w:lang w:val="zh-CN"/>
        </w:rPr>
        <w:t>“</w:t>
      </w:r>
      <w:r>
        <w:rPr>
          <w:kern w:val="0"/>
          <w:szCs w:val="21"/>
          <w:lang w:val="zh-CN"/>
        </w:rPr>
        <w:t>＋</w:t>
      </w:r>
      <w:r>
        <w:rPr>
          <w:kern w:val="0"/>
          <w:szCs w:val="21"/>
          <w:lang w:val="zh-CN"/>
        </w:rPr>
        <w:t>”</w:t>
      </w:r>
      <w:r>
        <w:rPr>
          <w:kern w:val="0"/>
          <w:szCs w:val="21"/>
          <w:lang w:val="zh-CN"/>
        </w:rPr>
        <w:t>形，用塑料夹固定，</w:t>
      </w:r>
      <w:r>
        <w:rPr>
          <w:kern w:val="0"/>
          <w:szCs w:val="21"/>
        </w:rPr>
        <w:t>7d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10d</w:t>
      </w:r>
      <w:r>
        <w:rPr>
          <w:kern w:val="0"/>
          <w:szCs w:val="21"/>
          <w:lang w:val="zh-CN"/>
        </w:rPr>
        <w:t>接口愈口后，切断黄瓜根。</w:t>
      </w:r>
    </w:p>
    <w:p w:rsidR="004F4D85" w:rsidRDefault="00A743C1">
      <w:pPr>
        <w:pStyle w:val="a7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>5.7.2.2</w:t>
      </w:r>
      <w:r>
        <w:rPr>
          <w:rFonts w:ascii="Times New Roman"/>
        </w:rPr>
        <w:t>顶插接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待南瓜播种</w:t>
      </w:r>
      <w:r>
        <w:rPr>
          <w:kern w:val="0"/>
          <w:szCs w:val="21"/>
        </w:rPr>
        <w:t>10d</w:t>
      </w:r>
      <w:r>
        <w:rPr>
          <w:kern w:val="0"/>
          <w:szCs w:val="21"/>
          <w:lang w:val="zh-CN"/>
        </w:rPr>
        <w:t>左右第一片真叶初展，黄瓜播种</w:t>
      </w:r>
      <w:r>
        <w:rPr>
          <w:kern w:val="0"/>
          <w:szCs w:val="21"/>
        </w:rPr>
        <w:t>8 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10 d</w:t>
      </w:r>
      <w:r>
        <w:rPr>
          <w:kern w:val="0"/>
          <w:szCs w:val="21"/>
          <w:lang w:val="zh-CN"/>
        </w:rPr>
        <w:t>，子叶即将展开时开始嫁接。去除砧木顶心，插入嫁接签，嫁接签紧贴子叶叶柄中脉基部向另一子叶叶柄基部成</w:t>
      </w:r>
      <w:r>
        <w:rPr>
          <w:kern w:val="0"/>
          <w:szCs w:val="21"/>
        </w:rPr>
        <w:t>45°</w:t>
      </w:r>
      <w:r>
        <w:rPr>
          <w:kern w:val="0"/>
          <w:szCs w:val="21"/>
          <w:lang w:val="zh-CN"/>
        </w:rPr>
        <w:t>左右斜插，插孔深度为嫁接签稍穿破砧木下胚轴皮层，嫁接签暂不拔出。拔取接穗苗，距子叶基部下方</w:t>
      </w:r>
      <w:r>
        <w:rPr>
          <w:kern w:val="0"/>
          <w:szCs w:val="21"/>
        </w:rPr>
        <w:t xml:space="preserve"> 0.5cm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 xml:space="preserve">1.0cm </w:t>
      </w:r>
      <w:r>
        <w:rPr>
          <w:kern w:val="0"/>
          <w:szCs w:val="21"/>
          <w:lang w:val="zh-CN"/>
        </w:rPr>
        <w:t>处，斜削一刀，斜面长</w:t>
      </w:r>
      <w:r>
        <w:rPr>
          <w:kern w:val="0"/>
          <w:szCs w:val="21"/>
        </w:rPr>
        <w:t xml:space="preserve"> 0.7cm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1.0cm</w:t>
      </w:r>
      <w:r>
        <w:rPr>
          <w:kern w:val="0"/>
          <w:szCs w:val="21"/>
          <w:lang w:val="zh-CN"/>
        </w:rPr>
        <w:t>。拔出嫁接签将接穗斜削面向下插进砧木插孔，接口紧实，砧木子叶与接穗子叶交叉成</w:t>
      </w:r>
      <w:r>
        <w:rPr>
          <w:kern w:val="0"/>
          <w:szCs w:val="21"/>
          <w:lang w:val="zh-CN"/>
        </w:rPr>
        <w:t>“</w:t>
      </w:r>
      <w:r>
        <w:rPr>
          <w:kern w:val="0"/>
          <w:szCs w:val="21"/>
          <w:lang w:val="zh-CN"/>
        </w:rPr>
        <w:t>＋</w:t>
      </w:r>
      <w:r>
        <w:rPr>
          <w:kern w:val="0"/>
          <w:szCs w:val="21"/>
          <w:lang w:val="zh-CN"/>
        </w:rPr>
        <w:t>”</w:t>
      </w:r>
      <w:r>
        <w:rPr>
          <w:kern w:val="0"/>
          <w:szCs w:val="21"/>
          <w:lang w:val="zh-CN"/>
        </w:rPr>
        <w:t>形。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63" w:name="_Toc493513131"/>
      <w:r>
        <w:rPr>
          <w:rFonts w:ascii="Times New Roman"/>
        </w:rPr>
        <w:t>5.7.3</w:t>
      </w:r>
      <w:r>
        <w:rPr>
          <w:rFonts w:ascii="Times New Roman"/>
        </w:rPr>
        <w:t>嫁接苗移栽</w:t>
      </w:r>
      <w:bookmarkEnd w:id="63"/>
    </w:p>
    <w:p w:rsidR="004F4D85" w:rsidRDefault="00A743C1">
      <w:pPr>
        <w:tabs>
          <w:tab w:val="left" w:pos="644"/>
        </w:tabs>
        <w:autoSpaceDE w:val="0"/>
        <w:autoSpaceDN w:val="0"/>
        <w:adjustRightInd w:val="0"/>
        <w:spacing w:before="1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把嫁接苗移栽到直径为</w:t>
      </w:r>
      <w:r>
        <w:rPr>
          <w:kern w:val="0"/>
          <w:szCs w:val="21"/>
        </w:rPr>
        <w:t>8 cm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10 cm</w:t>
      </w:r>
      <w:r>
        <w:rPr>
          <w:kern w:val="0"/>
          <w:szCs w:val="21"/>
          <w:lang w:val="zh-CN"/>
        </w:rPr>
        <w:t>的营养钵内，靠接苗移栽时将南瓜苗与黄瓜苗分开栽，南瓜苗在营养钵中央，黄瓜苗在边上。将营养钵置于苗床中，扣小拱棚保湿遮阴，棚内温度白天</w:t>
      </w:r>
      <w:r>
        <w:rPr>
          <w:kern w:val="0"/>
          <w:szCs w:val="21"/>
        </w:rPr>
        <w:t>25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28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，夜间</w:t>
      </w:r>
      <w:r>
        <w:rPr>
          <w:kern w:val="0"/>
          <w:szCs w:val="21"/>
        </w:rPr>
        <w:t>18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20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，</w:t>
      </w:r>
      <w:r>
        <w:rPr>
          <w:kern w:val="0"/>
          <w:szCs w:val="21"/>
        </w:rPr>
        <w:t>3 d</w:t>
      </w:r>
      <w:r>
        <w:rPr>
          <w:kern w:val="0"/>
          <w:szCs w:val="21"/>
          <w:lang w:val="zh-CN"/>
        </w:rPr>
        <w:t>逐渐撤去遮阴物，</w:t>
      </w:r>
      <w:r>
        <w:rPr>
          <w:kern w:val="0"/>
          <w:szCs w:val="21"/>
        </w:rPr>
        <w:t>7 d</w:t>
      </w:r>
      <w:r>
        <w:rPr>
          <w:kern w:val="0"/>
          <w:szCs w:val="21"/>
          <w:lang w:val="zh-CN"/>
        </w:rPr>
        <w:t>后实行全天见光。健壮嫁接苗要求株高</w:t>
      </w:r>
      <w:r>
        <w:rPr>
          <w:kern w:val="0"/>
          <w:szCs w:val="21"/>
        </w:rPr>
        <w:t>10 cm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13cm</w:t>
      </w:r>
      <w:r>
        <w:rPr>
          <w:kern w:val="0"/>
          <w:szCs w:val="21"/>
          <w:lang w:val="zh-CN"/>
        </w:rPr>
        <w:t>，茎粗</w:t>
      </w:r>
      <w:r>
        <w:rPr>
          <w:kern w:val="0"/>
          <w:szCs w:val="21"/>
        </w:rPr>
        <w:t>0.6 cm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0.7cm</w:t>
      </w:r>
      <w:r>
        <w:rPr>
          <w:kern w:val="0"/>
          <w:szCs w:val="21"/>
          <w:lang w:val="zh-CN"/>
        </w:rPr>
        <w:t>，</w:t>
      </w:r>
      <w:r>
        <w:rPr>
          <w:kern w:val="0"/>
          <w:szCs w:val="21"/>
        </w:rPr>
        <w:t>3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4</w:t>
      </w:r>
      <w:r>
        <w:rPr>
          <w:kern w:val="0"/>
          <w:szCs w:val="21"/>
          <w:lang w:val="zh-CN"/>
        </w:rPr>
        <w:t>叶一心，苗龄</w:t>
      </w:r>
      <w:r>
        <w:rPr>
          <w:kern w:val="0"/>
          <w:szCs w:val="21"/>
        </w:rPr>
        <w:t>35 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40 d</w:t>
      </w:r>
      <w:r>
        <w:rPr>
          <w:kern w:val="0"/>
          <w:szCs w:val="21"/>
          <w:lang w:val="zh-CN"/>
        </w:rPr>
        <w:t>。</w:t>
      </w:r>
    </w:p>
    <w:p w:rsidR="004F4D85" w:rsidRDefault="00A743C1">
      <w:pPr>
        <w:pStyle w:val="a5"/>
        <w:spacing w:before="156" w:after="156"/>
        <w:ind w:left="0"/>
        <w:jc w:val="both"/>
        <w:rPr>
          <w:rFonts w:ascii="Times New Roman"/>
        </w:rPr>
      </w:pPr>
      <w:bookmarkStart w:id="64" w:name="_Toc493528160"/>
      <w:bookmarkStart w:id="65" w:name="_Toc493513132"/>
      <w:bookmarkStart w:id="66" w:name="_Toc493513242"/>
      <w:r>
        <w:rPr>
          <w:rFonts w:ascii="Times New Roman"/>
        </w:rPr>
        <w:lastRenderedPageBreak/>
        <w:t>炼苗</w:t>
      </w:r>
      <w:bookmarkEnd w:id="64"/>
      <w:bookmarkEnd w:id="65"/>
      <w:bookmarkEnd w:id="66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color w:val="000000"/>
          <w:kern w:val="0"/>
          <w:szCs w:val="21"/>
          <w:lang w:val="zh-CN"/>
        </w:rPr>
        <w:t>定植前</w:t>
      </w:r>
      <w:r>
        <w:rPr>
          <w:color w:val="000000"/>
          <w:kern w:val="0"/>
          <w:szCs w:val="21"/>
        </w:rPr>
        <w:t>7d</w:t>
      </w:r>
      <w:r>
        <w:rPr>
          <w:color w:val="000000"/>
          <w:kern w:val="0"/>
          <w:szCs w:val="21"/>
          <w:lang w:val="zh-CN"/>
        </w:rPr>
        <w:t>，冬春育苗，保持白天</w:t>
      </w:r>
      <w:r>
        <w:rPr>
          <w:color w:val="000000"/>
          <w:kern w:val="0"/>
          <w:szCs w:val="21"/>
        </w:rPr>
        <w:t>20</w:t>
      </w:r>
      <w:r>
        <w:rPr>
          <w:color w:val="000000"/>
          <w:kern w:val="0"/>
          <w:szCs w:val="21"/>
          <w:lang w:val="zh-CN"/>
        </w:rPr>
        <w:t>℃</w:t>
      </w:r>
      <w:r>
        <w:rPr>
          <w:color w:val="000000"/>
          <w:kern w:val="0"/>
          <w:szCs w:val="21"/>
          <w:lang w:val="zh-CN"/>
        </w:rPr>
        <w:t>～</w:t>
      </w:r>
      <w:r>
        <w:rPr>
          <w:color w:val="000000"/>
          <w:kern w:val="0"/>
          <w:szCs w:val="21"/>
        </w:rPr>
        <w:t>23</w:t>
      </w:r>
      <w:r>
        <w:rPr>
          <w:color w:val="000000"/>
          <w:kern w:val="0"/>
          <w:szCs w:val="21"/>
          <w:lang w:val="zh-CN"/>
        </w:rPr>
        <w:t>℃</w:t>
      </w:r>
      <w:r>
        <w:rPr>
          <w:color w:val="000000"/>
          <w:kern w:val="0"/>
          <w:szCs w:val="21"/>
          <w:lang w:val="zh-CN"/>
        </w:rPr>
        <w:t>，定植前</w:t>
      </w:r>
      <w:r>
        <w:rPr>
          <w:color w:val="000000"/>
          <w:kern w:val="0"/>
          <w:szCs w:val="21"/>
        </w:rPr>
        <w:t>3d</w:t>
      </w:r>
      <w:r>
        <w:rPr>
          <w:color w:val="000000"/>
          <w:kern w:val="0"/>
          <w:szCs w:val="21"/>
          <w:lang w:val="zh-CN"/>
        </w:rPr>
        <w:t>～</w:t>
      </w:r>
      <w:r>
        <w:rPr>
          <w:color w:val="000000"/>
          <w:kern w:val="0"/>
          <w:szCs w:val="21"/>
        </w:rPr>
        <w:t>5d</w:t>
      </w:r>
      <w:r>
        <w:rPr>
          <w:color w:val="000000"/>
          <w:kern w:val="0"/>
          <w:szCs w:val="21"/>
          <w:lang w:val="zh-CN"/>
        </w:rPr>
        <w:t>，夜间气温可降至</w:t>
      </w:r>
      <w:r>
        <w:rPr>
          <w:color w:val="000000"/>
          <w:kern w:val="0"/>
          <w:szCs w:val="21"/>
        </w:rPr>
        <w:t>5</w:t>
      </w:r>
      <w:r>
        <w:rPr>
          <w:color w:val="000000"/>
          <w:kern w:val="0"/>
          <w:szCs w:val="21"/>
          <w:lang w:val="zh-CN"/>
        </w:rPr>
        <w:t>℃</w:t>
      </w:r>
      <w:r>
        <w:rPr>
          <w:color w:val="000000"/>
          <w:kern w:val="0"/>
          <w:szCs w:val="21"/>
          <w:lang w:val="zh-CN"/>
        </w:rPr>
        <w:t>左右。</w:t>
      </w:r>
      <w:r>
        <w:rPr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  <w:lang w:val="zh-CN"/>
        </w:rPr>
        <w:t>夏秋季育苗，适当控制水分，逐渐减少遮阳网覆盖率，直到不覆盖。</w:t>
      </w:r>
    </w:p>
    <w:p w:rsidR="004F4D85" w:rsidRDefault="00A743C1">
      <w:pPr>
        <w:pStyle w:val="a4"/>
        <w:spacing w:before="312" w:after="312"/>
        <w:rPr>
          <w:rFonts w:ascii="Times New Roman"/>
        </w:rPr>
      </w:pPr>
      <w:bookmarkStart w:id="67" w:name="_Toc493513133"/>
      <w:bookmarkStart w:id="68" w:name="_Toc493513243"/>
      <w:bookmarkStart w:id="69" w:name="_Toc493528161"/>
      <w:bookmarkStart w:id="70" w:name="_Toc493512009"/>
      <w:r>
        <w:rPr>
          <w:rFonts w:ascii="Times New Roman"/>
        </w:rPr>
        <w:t>施基肥与整地</w:t>
      </w:r>
      <w:bookmarkEnd w:id="67"/>
      <w:bookmarkEnd w:id="68"/>
      <w:bookmarkEnd w:id="69"/>
      <w:bookmarkEnd w:id="70"/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71" w:name="_Toc493528162"/>
      <w:bookmarkStart w:id="72" w:name="_Toc493513244"/>
      <w:bookmarkStart w:id="73" w:name="_Toc493513134"/>
      <w:r>
        <w:rPr>
          <w:rFonts w:ascii="Times New Roman"/>
        </w:rPr>
        <w:t>施基肥</w:t>
      </w:r>
      <w:bookmarkEnd w:id="71"/>
      <w:bookmarkEnd w:id="72"/>
      <w:bookmarkEnd w:id="73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肥料的选择和使用应符合</w:t>
      </w:r>
      <w:r>
        <w:rPr>
          <w:kern w:val="0"/>
          <w:szCs w:val="21"/>
        </w:rPr>
        <w:t>NY/T 394</w:t>
      </w:r>
      <w:r>
        <w:rPr>
          <w:kern w:val="0"/>
          <w:szCs w:val="21"/>
          <w:lang w:val="zh-CN"/>
        </w:rPr>
        <w:t>的规定。以腐熟的有机肥作基肥，施用量可视土壤营养状况及有机肥的质量而定。每</w:t>
      </w:r>
      <w:r>
        <w:rPr>
          <w:kern w:val="0"/>
          <w:szCs w:val="21"/>
        </w:rPr>
        <w:t xml:space="preserve">1000 kg </w:t>
      </w:r>
      <w:r>
        <w:rPr>
          <w:kern w:val="0"/>
          <w:szCs w:val="21"/>
          <w:lang w:val="zh-CN"/>
        </w:rPr>
        <w:t>商品氮（</w:t>
      </w:r>
      <w:r>
        <w:rPr>
          <w:kern w:val="0"/>
          <w:szCs w:val="21"/>
        </w:rPr>
        <w:t>N</w:t>
      </w:r>
      <w:r>
        <w:rPr>
          <w:kern w:val="0"/>
          <w:szCs w:val="21"/>
          <w:lang w:val="zh-CN"/>
        </w:rPr>
        <w:t>）</w:t>
      </w:r>
      <w:r>
        <w:rPr>
          <w:kern w:val="0"/>
          <w:szCs w:val="21"/>
        </w:rPr>
        <w:t>1.9 kg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2.7 kg</w:t>
      </w:r>
      <w:r>
        <w:rPr>
          <w:kern w:val="0"/>
          <w:szCs w:val="21"/>
          <w:lang w:val="zh-CN"/>
        </w:rPr>
        <w:t>，磷（</w:t>
      </w:r>
      <w:r>
        <w:rPr>
          <w:kern w:val="0"/>
          <w:szCs w:val="21"/>
        </w:rPr>
        <w:t>P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O</w:t>
      </w:r>
      <w:r>
        <w:rPr>
          <w:kern w:val="0"/>
          <w:szCs w:val="21"/>
          <w:vertAlign w:val="subscript"/>
        </w:rPr>
        <w:t>5</w:t>
      </w:r>
      <w:r>
        <w:rPr>
          <w:kern w:val="0"/>
          <w:szCs w:val="21"/>
          <w:lang w:val="zh-CN"/>
        </w:rPr>
        <w:t>）</w:t>
      </w:r>
      <w:r>
        <w:rPr>
          <w:kern w:val="0"/>
          <w:szCs w:val="21"/>
        </w:rPr>
        <w:t>0.9 kg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1.2 kg</w:t>
      </w:r>
      <w:r>
        <w:rPr>
          <w:kern w:val="0"/>
          <w:szCs w:val="21"/>
          <w:lang w:val="zh-CN"/>
        </w:rPr>
        <w:t>，钾（</w:t>
      </w:r>
      <w:r>
        <w:rPr>
          <w:kern w:val="0"/>
          <w:szCs w:val="21"/>
        </w:rPr>
        <w:t>K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O</w:t>
      </w:r>
      <w:r>
        <w:rPr>
          <w:kern w:val="0"/>
          <w:szCs w:val="21"/>
          <w:lang w:val="zh-CN"/>
        </w:rPr>
        <w:t>）</w:t>
      </w:r>
      <w:r>
        <w:rPr>
          <w:kern w:val="0"/>
          <w:szCs w:val="21"/>
        </w:rPr>
        <w:t>3.5 kg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4.0 kg</w:t>
      </w:r>
      <w:r>
        <w:rPr>
          <w:kern w:val="0"/>
          <w:szCs w:val="21"/>
          <w:lang w:val="zh-CN"/>
        </w:rPr>
        <w:t>，钙（</w:t>
      </w:r>
      <w:r>
        <w:rPr>
          <w:kern w:val="0"/>
          <w:szCs w:val="21"/>
        </w:rPr>
        <w:t>Ca</w:t>
      </w:r>
      <w:r>
        <w:rPr>
          <w:kern w:val="0"/>
          <w:szCs w:val="21"/>
          <w:lang w:val="zh-CN"/>
        </w:rPr>
        <w:t>）</w:t>
      </w:r>
      <w:r>
        <w:rPr>
          <w:kern w:val="0"/>
          <w:szCs w:val="21"/>
        </w:rPr>
        <w:t>2.9 kg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3.9 kg</w:t>
      </w:r>
      <w:r>
        <w:rPr>
          <w:kern w:val="0"/>
          <w:szCs w:val="21"/>
          <w:lang w:val="zh-CN"/>
        </w:rPr>
        <w:t>，镁（</w:t>
      </w:r>
      <w:r>
        <w:rPr>
          <w:kern w:val="0"/>
          <w:szCs w:val="21"/>
        </w:rPr>
        <w:t>Mg</w:t>
      </w:r>
      <w:r>
        <w:rPr>
          <w:kern w:val="0"/>
          <w:szCs w:val="21"/>
          <w:lang w:val="zh-CN"/>
        </w:rPr>
        <w:t>）</w:t>
      </w:r>
      <w:r>
        <w:rPr>
          <w:kern w:val="0"/>
          <w:szCs w:val="21"/>
        </w:rPr>
        <w:t>0.6 kg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0.8 kg</w:t>
      </w:r>
      <w:r>
        <w:rPr>
          <w:kern w:val="0"/>
          <w:szCs w:val="21"/>
          <w:lang w:val="zh-CN"/>
        </w:rPr>
        <w:t>。通常每</w:t>
      </w:r>
      <w:r>
        <w:rPr>
          <w:kern w:val="0"/>
          <w:szCs w:val="21"/>
        </w:rPr>
        <w:t>亩</w:t>
      </w:r>
      <w:r>
        <w:rPr>
          <w:kern w:val="0"/>
          <w:szCs w:val="21"/>
          <w:lang w:val="zh-CN"/>
        </w:rPr>
        <w:t>可施入腐熟厩肥</w:t>
      </w:r>
      <w:r>
        <w:rPr>
          <w:kern w:val="0"/>
          <w:szCs w:val="21"/>
        </w:rPr>
        <w:t>2500kg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3000kg</w:t>
      </w:r>
      <w:r>
        <w:rPr>
          <w:kern w:val="0"/>
          <w:szCs w:val="21"/>
          <w:lang w:val="zh-CN"/>
        </w:rPr>
        <w:t>，或商品有机肥</w:t>
      </w:r>
      <w:r>
        <w:rPr>
          <w:kern w:val="0"/>
          <w:szCs w:val="21"/>
        </w:rPr>
        <w:t>500kg</w:t>
      </w:r>
      <w:r>
        <w:rPr>
          <w:kern w:val="0"/>
          <w:szCs w:val="21"/>
          <w:lang w:val="zh-CN"/>
        </w:rPr>
        <w:t>，另加磷酸二</w:t>
      </w:r>
      <w:r>
        <w:rPr>
          <w:kern w:val="0"/>
          <w:szCs w:val="21"/>
        </w:rPr>
        <w:t>铵</w:t>
      </w:r>
      <w:r>
        <w:rPr>
          <w:kern w:val="0"/>
          <w:szCs w:val="21"/>
        </w:rPr>
        <w:t>30kg</w:t>
      </w:r>
      <w:r>
        <w:rPr>
          <w:kern w:val="0"/>
          <w:szCs w:val="21"/>
          <w:lang w:val="zh-CN"/>
        </w:rPr>
        <w:t>，硫酸钾</w:t>
      </w:r>
      <w:r>
        <w:rPr>
          <w:kern w:val="0"/>
          <w:szCs w:val="21"/>
        </w:rPr>
        <w:t>20kg</w:t>
      </w:r>
      <w:r>
        <w:rPr>
          <w:kern w:val="0"/>
          <w:szCs w:val="21"/>
          <w:lang w:val="zh-CN"/>
        </w:rPr>
        <w:t>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74" w:name="_Toc493528163"/>
      <w:bookmarkStart w:id="75" w:name="_Toc493513245"/>
      <w:bookmarkStart w:id="76" w:name="_Toc493513135"/>
      <w:r>
        <w:rPr>
          <w:rFonts w:ascii="Times New Roman"/>
        </w:rPr>
        <w:t>整地</w:t>
      </w:r>
      <w:bookmarkEnd w:id="74"/>
      <w:bookmarkEnd w:id="75"/>
      <w:bookmarkEnd w:id="76"/>
    </w:p>
    <w:p w:rsidR="004F4D85" w:rsidRDefault="00A743C1">
      <w:pPr>
        <w:autoSpaceDE w:val="0"/>
        <w:autoSpaceDN w:val="0"/>
        <w:adjustRightInd w:val="0"/>
        <w:ind w:firstLine="420"/>
        <w:rPr>
          <w:color w:val="000000"/>
          <w:kern w:val="0"/>
          <w:szCs w:val="21"/>
        </w:rPr>
      </w:pPr>
      <w:r>
        <w:rPr>
          <w:kern w:val="0"/>
          <w:szCs w:val="21"/>
          <w:lang w:val="zh-CN"/>
        </w:rPr>
        <w:t>定植前清除前茬残留物，深翻晒土一周，施入基肥后整地，采用高畦栽培，畦宽</w:t>
      </w:r>
      <w:r>
        <w:rPr>
          <w:kern w:val="0"/>
          <w:szCs w:val="21"/>
        </w:rPr>
        <w:t>1.3m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1.5m</w:t>
      </w:r>
      <w:r>
        <w:rPr>
          <w:kern w:val="0"/>
          <w:szCs w:val="21"/>
          <w:lang w:val="zh-CN"/>
        </w:rPr>
        <w:t>，沟深</w:t>
      </w:r>
      <w:r>
        <w:rPr>
          <w:kern w:val="0"/>
          <w:szCs w:val="21"/>
        </w:rPr>
        <w:t>25cm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30cm</w:t>
      </w:r>
      <w:r>
        <w:rPr>
          <w:kern w:val="0"/>
          <w:szCs w:val="21"/>
          <w:lang w:val="zh-CN"/>
        </w:rPr>
        <w:t>，整地后沟施化肥，按栽培密度布置滴灌带，覆盖地膜或无纺布。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77" w:name="_Toc493513136"/>
      <w:bookmarkStart w:id="78" w:name="_Toc493513246"/>
      <w:bookmarkStart w:id="79" w:name="_Toc493528164"/>
      <w:r>
        <w:rPr>
          <w:rFonts w:ascii="Times New Roman"/>
        </w:rPr>
        <w:t>大棚准备与消毒</w:t>
      </w:r>
      <w:bookmarkEnd w:id="77"/>
      <w:bookmarkEnd w:id="78"/>
      <w:bookmarkEnd w:id="79"/>
    </w:p>
    <w:p w:rsidR="004F4D85" w:rsidRDefault="00A743C1">
      <w:pPr>
        <w:autoSpaceDE w:val="0"/>
        <w:autoSpaceDN w:val="0"/>
        <w:adjustRightInd w:val="0"/>
        <w:rPr>
          <w:rFonts w:eastAsia="黑体"/>
          <w:kern w:val="0"/>
          <w:szCs w:val="21"/>
        </w:rPr>
      </w:pPr>
      <w:r>
        <w:rPr>
          <w:rFonts w:eastAsia="黑体" w:hint="eastAsia"/>
          <w:kern w:val="0"/>
          <w:szCs w:val="21"/>
        </w:rPr>
        <w:t xml:space="preserve">6.3.1 </w:t>
      </w:r>
      <w:r>
        <w:rPr>
          <w:rFonts w:eastAsia="黑体"/>
          <w:kern w:val="0"/>
          <w:szCs w:val="21"/>
        </w:rPr>
        <w:t>大棚准备</w:t>
      </w:r>
    </w:p>
    <w:p w:rsidR="004F4D85" w:rsidRDefault="00A743C1">
      <w:pPr>
        <w:autoSpaceDE w:val="0"/>
        <w:autoSpaceDN w:val="0"/>
        <w:adjustRightInd w:val="0"/>
        <w:ind w:firstLine="420"/>
        <w:rPr>
          <w:color w:val="000000"/>
          <w:kern w:val="0"/>
          <w:szCs w:val="21"/>
          <w:lang w:val="zh-CN"/>
        </w:rPr>
      </w:pPr>
      <w:r>
        <w:rPr>
          <w:color w:val="000000"/>
          <w:kern w:val="0"/>
          <w:szCs w:val="21"/>
          <w:lang w:val="zh-CN"/>
        </w:rPr>
        <w:t>定植前</w:t>
      </w:r>
      <w:r>
        <w:rPr>
          <w:color w:val="000000"/>
          <w:kern w:val="0"/>
          <w:szCs w:val="21"/>
        </w:rPr>
        <w:t>15d</w:t>
      </w:r>
      <w:r>
        <w:rPr>
          <w:color w:val="000000"/>
          <w:kern w:val="0"/>
          <w:szCs w:val="21"/>
          <w:lang w:val="zh-CN"/>
        </w:rPr>
        <w:t>～</w:t>
      </w:r>
      <w:r>
        <w:rPr>
          <w:color w:val="000000"/>
          <w:kern w:val="0"/>
          <w:szCs w:val="21"/>
        </w:rPr>
        <w:t>20d</w:t>
      </w:r>
      <w:r>
        <w:rPr>
          <w:color w:val="000000"/>
          <w:kern w:val="0"/>
          <w:szCs w:val="21"/>
          <w:lang w:val="zh-CN"/>
        </w:rPr>
        <w:t>及时扣棚膜和防虫网，夏秋季栽培最好在顶膜上加盖遮阳网。</w:t>
      </w:r>
    </w:p>
    <w:p w:rsidR="004F4D85" w:rsidRDefault="00A743C1">
      <w:pPr>
        <w:autoSpaceDE w:val="0"/>
        <w:autoSpaceDN w:val="0"/>
        <w:adjustRightInd w:val="0"/>
        <w:rPr>
          <w:rFonts w:eastAsia="黑体"/>
          <w:kern w:val="0"/>
          <w:szCs w:val="21"/>
        </w:rPr>
      </w:pPr>
      <w:r>
        <w:rPr>
          <w:rFonts w:eastAsia="黑体" w:hint="eastAsia"/>
          <w:kern w:val="0"/>
          <w:szCs w:val="21"/>
        </w:rPr>
        <w:t xml:space="preserve">6.3.2 </w:t>
      </w:r>
      <w:r>
        <w:rPr>
          <w:rFonts w:eastAsia="黑体"/>
          <w:kern w:val="0"/>
          <w:szCs w:val="21"/>
        </w:rPr>
        <w:t>大棚消毒</w:t>
      </w:r>
    </w:p>
    <w:p w:rsidR="004F4D85" w:rsidRDefault="00A743C1">
      <w:pPr>
        <w:autoSpaceDE w:val="0"/>
        <w:autoSpaceDN w:val="0"/>
        <w:adjustRightInd w:val="0"/>
        <w:ind w:firstLine="420"/>
        <w:rPr>
          <w:color w:val="000000"/>
          <w:kern w:val="0"/>
          <w:szCs w:val="21"/>
          <w:lang w:val="zh-CN"/>
        </w:rPr>
      </w:pPr>
      <w:r>
        <w:rPr>
          <w:color w:val="000000"/>
          <w:kern w:val="0"/>
          <w:szCs w:val="21"/>
          <w:lang w:val="zh-CN"/>
        </w:rPr>
        <w:t>秋延后栽培可采用高温闷棚消毒，先消除前茬病株残体并彻底清洁温室大棚，再对土壤进行深翻，随后灌大水，然后用聚乙烯塑料薄膜全面覆盖棚内土壤，再在太阳下密闭暴晒</w:t>
      </w:r>
      <w:r>
        <w:rPr>
          <w:color w:val="000000"/>
          <w:kern w:val="0"/>
          <w:szCs w:val="21"/>
          <w:lang w:val="zh-CN"/>
        </w:rPr>
        <w:t>15~25d</w:t>
      </w:r>
      <w:r>
        <w:rPr>
          <w:rFonts w:hint="eastAsia"/>
          <w:color w:val="000000"/>
          <w:kern w:val="0"/>
          <w:szCs w:val="21"/>
          <w:lang w:val="zh-CN"/>
        </w:rPr>
        <w:t>。</w:t>
      </w:r>
    </w:p>
    <w:p w:rsidR="004F4D85" w:rsidRDefault="00A743C1">
      <w:pPr>
        <w:autoSpaceDE w:val="0"/>
        <w:autoSpaceDN w:val="0"/>
        <w:adjustRightInd w:val="0"/>
        <w:ind w:firstLine="420"/>
        <w:rPr>
          <w:color w:val="FF0000"/>
          <w:kern w:val="0"/>
          <w:szCs w:val="21"/>
        </w:rPr>
      </w:pPr>
      <w:r>
        <w:rPr>
          <w:color w:val="000000"/>
          <w:kern w:val="0"/>
          <w:szCs w:val="21"/>
          <w:lang w:val="zh-CN"/>
        </w:rPr>
        <w:t>春提早栽培可用熏蒸消毒，先密闭塑料棚膜及放风口，每</w:t>
      </w:r>
      <w:r>
        <w:rPr>
          <w:color w:val="000000"/>
          <w:kern w:val="0"/>
          <w:szCs w:val="21"/>
          <w:lang w:val="zh-CN"/>
        </w:rPr>
        <w:t>100 m</w:t>
      </w:r>
      <w:r>
        <w:rPr>
          <w:color w:val="000000"/>
          <w:kern w:val="0"/>
          <w:szCs w:val="21"/>
          <w:vertAlign w:val="superscript"/>
          <w:lang w:val="zh-CN"/>
        </w:rPr>
        <w:t>3</w:t>
      </w:r>
      <w:r>
        <w:rPr>
          <w:kern w:val="0"/>
          <w:szCs w:val="21"/>
          <w:lang w:val="zh-CN"/>
        </w:rPr>
        <w:t>用硫磺粉</w:t>
      </w:r>
      <w:r>
        <w:rPr>
          <w:kern w:val="0"/>
          <w:szCs w:val="21"/>
          <w:lang w:val="zh-CN"/>
        </w:rPr>
        <w:t>250</w:t>
      </w:r>
      <w:r>
        <w:rPr>
          <w:rFonts w:hint="eastAsia"/>
          <w:color w:val="000000"/>
          <w:kern w:val="0"/>
          <w:szCs w:val="21"/>
          <w:lang w:val="zh-CN"/>
        </w:rPr>
        <w:t xml:space="preserve"> </w:t>
      </w:r>
      <w:r>
        <w:rPr>
          <w:color w:val="000000"/>
          <w:kern w:val="0"/>
          <w:szCs w:val="21"/>
          <w:lang w:val="zh-CN"/>
        </w:rPr>
        <w:t>g</w:t>
      </w:r>
      <w:r>
        <w:rPr>
          <w:color w:val="000000"/>
          <w:kern w:val="0"/>
          <w:szCs w:val="21"/>
          <w:lang w:val="zh-CN"/>
        </w:rPr>
        <w:t>，加锯末</w:t>
      </w:r>
      <w:r>
        <w:rPr>
          <w:color w:val="000000"/>
          <w:kern w:val="0"/>
          <w:szCs w:val="21"/>
          <w:lang w:val="zh-CN"/>
        </w:rPr>
        <w:t>500g</w:t>
      </w:r>
      <w:r>
        <w:rPr>
          <w:color w:val="000000"/>
          <w:kern w:val="0"/>
          <w:szCs w:val="21"/>
          <w:lang w:val="zh-CN"/>
        </w:rPr>
        <w:t>放在瓦片或铁片上，从棚内往外依次点燃，然后密闭门口，在晚上</w:t>
      </w:r>
      <w:r>
        <w:rPr>
          <w:color w:val="000000"/>
          <w:kern w:val="0"/>
          <w:szCs w:val="21"/>
          <w:lang w:val="zh-CN"/>
        </w:rPr>
        <w:t>19</w:t>
      </w:r>
      <w:r>
        <w:rPr>
          <w:color w:val="000000"/>
          <w:kern w:val="0"/>
          <w:szCs w:val="21"/>
          <w:lang w:val="zh-CN"/>
        </w:rPr>
        <w:t>时左右开始，熏蒸</w:t>
      </w:r>
      <w:r>
        <w:rPr>
          <w:color w:val="000000"/>
          <w:kern w:val="0"/>
          <w:szCs w:val="21"/>
          <w:lang w:val="zh-CN"/>
        </w:rPr>
        <w:t>24</w:t>
      </w:r>
      <w:r>
        <w:rPr>
          <w:rFonts w:hint="eastAsia"/>
          <w:color w:val="000000"/>
          <w:kern w:val="0"/>
          <w:szCs w:val="21"/>
          <w:lang w:val="zh-CN"/>
        </w:rPr>
        <w:t xml:space="preserve"> h~ </w:t>
      </w:r>
      <w:r>
        <w:rPr>
          <w:color w:val="000000"/>
          <w:kern w:val="0"/>
          <w:szCs w:val="21"/>
          <w:lang w:val="zh-CN"/>
        </w:rPr>
        <w:t>48</w:t>
      </w:r>
      <w:r>
        <w:rPr>
          <w:rFonts w:hint="eastAsia"/>
          <w:color w:val="000000"/>
          <w:kern w:val="0"/>
          <w:szCs w:val="21"/>
          <w:lang w:val="zh-CN"/>
        </w:rPr>
        <w:t xml:space="preserve"> h</w:t>
      </w:r>
      <w:r>
        <w:rPr>
          <w:color w:val="000000"/>
          <w:kern w:val="0"/>
          <w:szCs w:val="21"/>
          <w:lang w:val="zh-CN"/>
        </w:rPr>
        <w:t>，定植前打开棚室通风口放风，待药味散尽后方可定植。</w:t>
      </w:r>
    </w:p>
    <w:p w:rsidR="004F4D85" w:rsidRDefault="00A743C1">
      <w:pPr>
        <w:pStyle w:val="a4"/>
        <w:spacing w:before="312" w:after="312"/>
        <w:rPr>
          <w:rFonts w:ascii="Times New Roman"/>
        </w:rPr>
      </w:pPr>
      <w:bookmarkStart w:id="80" w:name="_Toc493512010"/>
      <w:bookmarkStart w:id="81" w:name="_Toc493528165"/>
      <w:bookmarkStart w:id="82" w:name="_Toc493513247"/>
      <w:bookmarkStart w:id="83" w:name="_Toc493513137"/>
      <w:r>
        <w:rPr>
          <w:rFonts w:ascii="Times New Roman"/>
        </w:rPr>
        <w:t>定植</w:t>
      </w:r>
      <w:bookmarkEnd w:id="80"/>
      <w:bookmarkEnd w:id="81"/>
      <w:bookmarkEnd w:id="82"/>
      <w:bookmarkEnd w:id="83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 w:val="27"/>
          <w:szCs w:val="27"/>
        </w:rPr>
      </w:pPr>
      <w:r>
        <w:rPr>
          <w:kern w:val="0"/>
          <w:szCs w:val="21"/>
          <w:lang w:val="zh-CN"/>
        </w:rPr>
        <w:t>当</w:t>
      </w:r>
      <w:r>
        <w:rPr>
          <w:kern w:val="0"/>
          <w:szCs w:val="21"/>
        </w:rPr>
        <w:t>10cm</w:t>
      </w:r>
      <w:r>
        <w:rPr>
          <w:kern w:val="0"/>
          <w:szCs w:val="21"/>
          <w:lang w:val="zh-CN"/>
        </w:rPr>
        <w:t>地温稳定在</w:t>
      </w:r>
      <w:r>
        <w:rPr>
          <w:kern w:val="0"/>
          <w:szCs w:val="21"/>
        </w:rPr>
        <w:t>12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以上时可进行定植，每亩密度为</w:t>
      </w:r>
      <w:r>
        <w:rPr>
          <w:kern w:val="0"/>
          <w:sz w:val="22"/>
          <w:szCs w:val="22"/>
        </w:rPr>
        <w:t>2600</w:t>
      </w:r>
      <w:r>
        <w:rPr>
          <w:kern w:val="0"/>
          <w:sz w:val="22"/>
          <w:szCs w:val="22"/>
          <w:lang w:val="zh-CN"/>
        </w:rPr>
        <w:t>株～</w:t>
      </w:r>
      <w:r>
        <w:rPr>
          <w:kern w:val="0"/>
          <w:sz w:val="22"/>
          <w:szCs w:val="22"/>
        </w:rPr>
        <w:t>3000</w:t>
      </w:r>
      <w:r>
        <w:rPr>
          <w:kern w:val="0"/>
          <w:sz w:val="22"/>
          <w:szCs w:val="22"/>
          <w:lang w:val="zh-CN"/>
        </w:rPr>
        <w:t>株</w:t>
      </w:r>
      <w:r>
        <w:rPr>
          <w:kern w:val="0"/>
          <w:szCs w:val="21"/>
          <w:lang w:val="zh-CN"/>
        </w:rPr>
        <w:t>，每畦种</w:t>
      </w:r>
      <w:r>
        <w:rPr>
          <w:kern w:val="0"/>
          <w:szCs w:val="21"/>
        </w:rPr>
        <w:t>2</w:t>
      </w:r>
      <w:r>
        <w:rPr>
          <w:kern w:val="0"/>
          <w:szCs w:val="21"/>
          <w:lang w:val="zh-CN"/>
        </w:rPr>
        <w:t>行，株距</w:t>
      </w:r>
      <w:r>
        <w:rPr>
          <w:kern w:val="0"/>
          <w:szCs w:val="21"/>
        </w:rPr>
        <w:t>35cm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40cm</w:t>
      </w:r>
      <w:r>
        <w:rPr>
          <w:kern w:val="0"/>
          <w:sz w:val="22"/>
          <w:szCs w:val="22"/>
          <w:lang w:val="zh-CN"/>
        </w:rPr>
        <w:t>，</w:t>
      </w:r>
      <w:r>
        <w:rPr>
          <w:kern w:val="0"/>
          <w:szCs w:val="21"/>
          <w:lang w:val="zh-CN"/>
        </w:rPr>
        <w:t>行距</w:t>
      </w:r>
      <w:r>
        <w:rPr>
          <w:kern w:val="0"/>
          <w:szCs w:val="21"/>
        </w:rPr>
        <w:t>70cm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80cm</w:t>
      </w:r>
      <w:r>
        <w:rPr>
          <w:kern w:val="0"/>
          <w:sz w:val="22"/>
          <w:szCs w:val="22"/>
          <w:lang w:val="zh-CN"/>
        </w:rPr>
        <w:t>，定植深度以营养土表面与地面平齐为宜，</w:t>
      </w:r>
      <w:r>
        <w:rPr>
          <w:kern w:val="0"/>
          <w:szCs w:val="21"/>
          <w:lang w:val="zh-CN"/>
        </w:rPr>
        <w:t>定植后灌透水，注意保温保湿，促进缓苗。</w:t>
      </w:r>
      <w:r>
        <w:rPr>
          <w:kern w:val="0"/>
          <w:szCs w:val="21"/>
        </w:rPr>
        <w:t xml:space="preserve"> </w:t>
      </w:r>
    </w:p>
    <w:p w:rsidR="004F4D85" w:rsidRDefault="00A743C1">
      <w:pPr>
        <w:pStyle w:val="a4"/>
        <w:spacing w:before="312" w:after="312"/>
        <w:rPr>
          <w:rFonts w:ascii="Times New Roman"/>
        </w:rPr>
      </w:pPr>
      <w:bookmarkStart w:id="84" w:name="_Toc493513138"/>
      <w:bookmarkStart w:id="85" w:name="_Toc493512011"/>
      <w:bookmarkStart w:id="86" w:name="_Toc493528166"/>
      <w:bookmarkStart w:id="87" w:name="_Toc493513248"/>
      <w:r>
        <w:rPr>
          <w:rFonts w:ascii="Times New Roman"/>
        </w:rPr>
        <w:t>田间管理</w:t>
      </w:r>
      <w:bookmarkEnd w:id="84"/>
      <w:bookmarkEnd w:id="85"/>
      <w:bookmarkEnd w:id="86"/>
      <w:bookmarkEnd w:id="87"/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88" w:name="_Toc493513139"/>
      <w:bookmarkStart w:id="89" w:name="_Toc493528167"/>
      <w:bookmarkStart w:id="90" w:name="_Toc493513249"/>
      <w:r>
        <w:rPr>
          <w:rFonts w:ascii="Times New Roman"/>
        </w:rPr>
        <w:t>温度管理</w:t>
      </w:r>
      <w:bookmarkEnd w:id="88"/>
      <w:bookmarkEnd w:id="89"/>
      <w:bookmarkEnd w:id="90"/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91" w:name="_Toc493513140"/>
      <w:r>
        <w:rPr>
          <w:rFonts w:ascii="Times New Roman"/>
        </w:rPr>
        <w:t>8.1.1</w:t>
      </w:r>
      <w:r>
        <w:rPr>
          <w:rFonts w:ascii="Times New Roman"/>
        </w:rPr>
        <w:t>缓苗期</w:t>
      </w:r>
      <w:bookmarkEnd w:id="91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大棚春提早栽培缓苗期白天棚温</w:t>
      </w:r>
      <w:r>
        <w:rPr>
          <w:kern w:val="0"/>
          <w:szCs w:val="21"/>
        </w:rPr>
        <w:t>25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30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，夜间</w:t>
      </w:r>
      <w:r>
        <w:rPr>
          <w:kern w:val="0"/>
          <w:szCs w:val="21"/>
        </w:rPr>
        <w:t>12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15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；缓苗前</w:t>
      </w:r>
      <w:r>
        <w:rPr>
          <w:kern w:val="0"/>
          <w:sz w:val="22"/>
          <w:szCs w:val="22"/>
          <w:lang w:val="zh-CN"/>
        </w:rPr>
        <w:t>春提早栽培遇</w:t>
      </w:r>
      <w:r>
        <w:rPr>
          <w:kern w:val="0"/>
          <w:szCs w:val="21"/>
          <w:lang w:val="zh-CN"/>
        </w:rPr>
        <w:t>阴雨天</w:t>
      </w:r>
      <w:r>
        <w:rPr>
          <w:kern w:val="0"/>
          <w:sz w:val="22"/>
          <w:szCs w:val="22"/>
          <w:lang w:val="zh-CN"/>
        </w:rPr>
        <w:t>，要</w:t>
      </w:r>
      <w:r>
        <w:rPr>
          <w:kern w:val="0"/>
          <w:szCs w:val="21"/>
          <w:lang w:val="zh-CN"/>
        </w:rPr>
        <w:t>揭除草帘等覆盖物以增强光照，晴天棚温达</w:t>
      </w:r>
      <w:r>
        <w:rPr>
          <w:kern w:val="0"/>
          <w:szCs w:val="21"/>
        </w:rPr>
        <w:t>32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以上时需适当通风降温；秋延后栽培要遮阳降温，前期多通风，使棚内温度不超</w:t>
      </w:r>
      <w:r>
        <w:rPr>
          <w:kern w:val="0"/>
          <w:szCs w:val="21"/>
        </w:rPr>
        <w:t>30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92" w:name="_Toc493513141"/>
      <w:r>
        <w:rPr>
          <w:rFonts w:ascii="Times New Roman"/>
        </w:rPr>
        <w:t>8.1.2</w:t>
      </w:r>
      <w:r>
        <w:rPr>
          <w:rFonts w:ascii="Times New Roman"/>
        </w:rPr>
        <w:t>缓苗后至结瓜前</w:t>
      </w:r>
      <w:bookmarkEnd w:id="92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lastRenderedPageBreak/>
        <w:t>缓苗后至结瓜前控制棚温白天</w:t>
      </w:r>
      <w:r>
        <w:rPr>
          <w:kern w:val="0"/>
          <w:szCs w:val="21"/>
        </w:rPr>
        <w:t>25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28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，夜间</w:t>
      </w:r>
      <w:r>
        <w:rPr>
          <w:kern w:val="0"/>
          <w:szCs w:val="21"/>
        </w:rPr>
        <w:t>12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15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；加强放风散湿，夜间在棚顶留放风口，夜间棚外最低温度达</w:t>
      </w:r>
      <w:r>
        <w:rPr>
          <w:kern w:val="0"/>
          <w:szCs w:val="21"/>
        </w:rPr>
        <w:t>15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以上时，可昼夜放风。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93" w:name="_Toc493513142"/>
      <w:r>
        <w:rPr>
          <w:rFonts w:ascii="Times New Roman"/>
        </w:rPr>
        <w:t>8.1.3</w:t>
      </w:r>
      <w:r>
        <w:rPr>
          <w:rFonts w:ascii="Times New Roman"/>
        </w:rPr>
        <w:t>结瓜期</w:t>
      </w:r>
      <w:bookmarkEnd w:id="93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进入结瓜期，白天温度</w:t>
      </w:r>
      <w:r>
        <w:rPr>
          <w:kern w:val="0"/>
          <w:szCs w:val="21"/>
        </w:rPr>
        <w:t>25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30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；夜间温度</w:t>
      </w:r>
      <w:r>
        <w:rPr>
          <w:kern w:val="0"/>
          <w:szCs w:val="21"/>
        </w:rPr>
        <w:t>13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18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94" w:name="_Toc493513143"/>
      <w:bookmarkStart w:id="95" w:name="_Toc493513250"/>
      <w:bookmarkStart w:id="96" w:name="_Toc493528168"/>
      <w:r>
        <w:rPr>
          <w:rFonts w:ascii="Times New Roman"/>
        </w:rPr>
        <w:t>湿度管理</w:t>
      </w:r>
      <w:bookmarkEnd w:id="94"/>
      <w:bookmarkEnd w:id="95"/>
      <w:bookmarkEnd w:id="96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 w:val="28"/>
          <w:szCs w:val="28"/>
        </w:rPr>
      </w:pPr>
      <w:r>
        <w:rPr>
          <w:color w:val="000000"/>
          <w:kern w:val="0"/>
          <w:szCs w:val="21"/>
          <w:lang w:val="zh-CN"/>
        </w:rPr>
        <w:t>根据黄瓜不同生育阶段对湿度的要求和控制病虫害的需要，最佳空气相对湿度的调控指标是缓苗期</w:t>
      </w:r>
      <w:r>
        <w:rPr>
          <w:color w:val="000000"/>
          <w:kern w:val="0"/>
          <w:szCs w:val="21"/>
        </w:rPr>
        <w:t>80%</w:t>
      </w:r>
      <w:r>
        <w:rPr>
          <w:color w:val="000000"/>
          <w:kern w:val="0"/>
          <w:szCs w:val="21"/>
          <w:lang w:val="zh-CN"/>
        </w:rPr>
        <w:t>～</w:t>
      </w:r>
      <w:r>
        <w:rPr>
          <w:color w:val="000000"/>
          <w:kern w:val="0"/>
          <w:szCs w:val="21"/>
        </w:rPr>
        <w:t>90%</w:t>
      </w:r>
      <w:r>
        <w:rPr>
          <w:color w:val="000000"/>
          <w:kern w:val="0"/>
          <w:szCs w:val="21"/>
          <w:lang w:val="zh-CN"/>
        </w:rPr>
        <w:t>。开花结果期空气相对湿度控制在上午</w:t>
      </w:r>
      <w:r>
        <w:rPr>
          <w:color w:val="000000"/>
          <w:kern w:val="0"/>
          <w:szCs w:val="21"/>
        </w:rPr>
        <w:t>7</w:t>
      </w:r>
      <w:r>
        <w:rPr>
          <w:color w:val="000000"/>
          <w:kern w:val="0"/>
          <w:szCs w:val="21"/>
          <w:lang w:val="zh-CN"/>
        </w:rPr>
        <w:t>～</w:t>
      </w:r>
      <w:r>
        <w:rPr>
          <w:color w:val="000000"/>
          <w:kern w:val="0"/>
          <w:szCs w:val="21"/>
        </w:rPr>
        <w:t>13</w:t>
      </w:r>
      <w:r>
        <w:rPr>
          <w:color w:val="000000"/>
          <w:kern w:val="0"/>
          <w:szCs w:val="21"/>
          <w:lang w:val="zh-CN"/>
        </w:rPr>
        <w:t>时</w:t>
      </w:r>
      <w:r>
        <w:rPr>
          <w:color w:val="000000"/>
          <w:kern w:val="0"/>
          <w:szCs w:val="21"/>
        </w:rPr>
        <w:t>60%</w:t>
      </w:r>
      <w:r>
        <w:rPr>
          <w:color w:val="000000"/>
          <w:kern w:val="0"/>
          <w:szCs w:val="21"/>
          <w:lang w:val="zh-CN"/>
        </w:rPr>
        <w:t>～</w:t>
      </w:r>
      <w:r>
        <w:rPr>
          <w:color w:val="000000"/>
          <w:kern w:val="0"/>
          <w:szCs w:val="21"/>
        </w:rPr>
        <w:t>70%</w:t>
      </w:r>
      <w:r>
        <w:rPr>
          <w:color w:val="000000"/>
          <w:kern w:val="0"/>
          <w:szCs w:val="21"/>
          <w:lang w:val="zh-CN"/>
        </w:rPr>
        <w:t>，下午</w:t>
      </w:r>
      <w:r>
        <w:rPr>
          <w:color w:val="000000"/>
          <w:kern w:val="0"/>
          <w:szCs w:val="21"/>
        </w:rPr>
        <w:t>13</w:t>
      </w:r>
      <w:r>
        <w:rPr>
          <w:color w:val="000000"/>
          <w:kern w:val="0"/>
          <w:szCs w:val="21"/>
          <w:lang w:val="zh-CN"/>
        </w:rPr>
        <w:t>～</w:t>
      </w:r>
      <w:r>
        <w:rPr>
          <w:color w:val="000000"/>
          <w:kern w:val="0"/>
          <w:szCs w:val="21"/>
        </w:rPr>
        <w:t>18</w:t>
      </w:r>
      <w:r>
        <w:rPr>
          <w:color w:val="000000"/>
          <w:kern w:val="0"/>
          <w:szCs w:val="21"/>
          <w:lang w:val="zh-CN"/>
        </w:rPr>
        <w:t>时</w:t>
      </w:r>
      <w:r>
        <w:rPr>
          <w:color w:val="000000"/>
          <w:kern w:val="0"/>
          <w:szCs w:val="21"/>
        </w:rPr>
        <w:t>60%</w:t>
      </w:r>
      <w:r>
        <w:rPr>
          <w:color w:val="000000"/>
          <w:kern w:val="0"/>
          <w:szCs w:val="21"/>
        </w:rPr>
        <w:t>左右</w:t>
      </w:r>
      <w:r>
        <w:rPr>
          <w:color w:val="000000"/>
          <w:kern w:val="0"/>
          <w:szCs w:val="21"/>
          <w:lang w:val="zh-CN"/>
        </w:rPr>
        <w:t>，上半夜</w:t>
      </w:r>
      <w:r>
        <w:rPr>
          <w:color w:val="000000"/>
          <w:kern w:val="0"/>
          <w:szCs w:val="21"/>
        </w:rPr>
        <w:t>18</w:t>
      </w:r>
      <w:r>
        <w:rPr>
          <w:color w:val="000000"/>
          <w:kern w:val="0"/>
          <w:szCs w:val="21"/>
        </w:rPr>
        <w:t>～</w:t>
      </w:r>
      <w:r>
        <w:rPr>
          <w:color w:val="000000"/>
          <w:kern w:val="0"/>
          <w:szCs w:val="21"/>
        </w:rPr>
        <w:t>24</w:t>
      </w:r>
      <w:r>
        <w:rPr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80%</w:t>
      </w:r>
      <w:r>
        <w:rPr>
          <w:color w:val="000000"/>
          <w:kern w:val="0"/>
          <w:szCs w:val="21"/>
        </w:rPr>
        <w:t>～</w:t>
      </w:r>
      <w:r>
        <w:rPr>
          <w:color w:val="000000"/>
          <w:kern w:val="0"/>
          <w:szCs w:val="21"/>
        </w:rPr>
        <w:t>90%</w:t>
      </w:r>
      <w:r>
        <w:rPr>
          <w:color w:val="000000"/>
          <w:kern w:val="0"/>
          <w:szCs w:val="21"/>
        </w:rPr>
        <w:t>，后半夜</w:t>
      </w:r>
      <w:r>
        <w:rPr>
          <w:color w:val="000000"/>
          <w:kern w:val="0"/>
          <w:szCs w:val="21"/>
        </w:rPr>
        <w:t>24</w:t>
      </w:r>
      <w:r>
        <w:rPr>
          <w:color w:val="000000"/>
          <w:kern w:val="0"/>
          <w:szCs w:val="21"/>
        </w:rPr>
        <w:t>～次日</w:t>
      </w:r>
      <w:r>
        <w:rPr>
          <w:color w:val="000000"/>
          <w:kern w:val="0"/>
          <w:szCs w:val="21"/>
        </w:rPr>
        <w:t>7</w:t>
      </w:r>
      <w:r>
        <w:rPr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90%</w:t>
      </w:r>
      <w:r>
        <w:rPr>
          <w:color w:val="000000"/>
          <w:kern w:val="0"/>
          <w:szCs w:val="21"/>
        </w:rPr>
        <w:t>。利用</w:t>
      </w:r>
      <w:r>
        <w:rPr>
          <w:color w:val="000000"/>
          <w:kern w:val="0"/>
          <w:szCs w:val="21"/>
          <w:lang w:val="zh-CN"/>
        </w:rPr>
        <w:t>滴灌或暗灌，通风排湿，温度调控等措施控制在最佳指标范围。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97" w:name="_Toc493513251"/>
      <w:bookmarkStart w:id="98" w:name="_Toc493513144"/>
      <w:bookmarkStart w:id="99" w:name="_Toc493528169"/>
      <w:r>
        <w:rPr>
          <w:rFonts w:ascii="Times New Roman"/>
        </w:rPr>
        <w:t>光照管理</w:t>
      </w:r>
      <w:bookmarkEnd w:id="97"/>
      <w:bookmarkEnd w:id="98"/>
      <w:bookmarkEnd w:id="99"/>
    </w:p>
    <w:p w:rsidR="004F4D85" w:rsidRDefault="00A743C1">
      <w:pPr>
        <w:autoSpaceDE w:val="0"/>
        <w:autoSpaceDN w:val="0"/>
        <w:adjustRightInd w:val="0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  <w:lang w:val="zh-CN"/>
        </w:rPr>
        <w:t>采用透光性好的无滴防老化膜，冬春季节保持膜面清洁，白天揭开保温覆盖物，尽量增加光照强度和时间。夏秋季节定植，初期适当遮阳降温。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100" w:name="_Toc493528170"/>
      <w:bookmarkStart w:id="101" w:name="_Toc493513252"/>
      <w:bookmarkStart w:id="102" w:name="_Toc493513145"/>
      <w:r>
        <w:rPr>
          <w:rFonts w:ascii="Times New Roman"/>
        </w:rPr>
        <w:t>肥水管理</w:t>
      </w:r>
      <w:bookmarkEnd w:id="100"/>
      <w:bookmarkEnd w:id="101"/>
      <w:bookmarkEnd w:id="102"/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103" w:name="_Toc493513146"/>
      <w:r>
        <w:rPr>
          <w:rFonts w:ascii="Times New Roman"/>
        </w:rPr>
        <w:t>8.4.1</w:t>
      </w:r>
      <w:r>
        <w:rPr>
          <w:rFonts w:ascii="Times New Roman"/>
        </w:rPr>
        <w:t>水分管理</w:t>
      </w:r>
      <w:bookmarkEnd w:id="103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定值后及时浇水，</w:t>
      </w:r>
      <w:r>
        <w:rPr>
          <w:kern w:val="0"/>
          <w:szCs w:val="21"/>
        </w:rPr>
        <w:t>3d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5d</w:t>
      </w:r>
      <w:r>
        <w:rPr>
          <w:kern w:val="0"/>
          <w:szCs w:val="21"/>
          <w:lang w:val="zh-CN"/>
        </w:rPr>
        <w:t>浇缓苗水</w:t>
      </w:r>
      <w:r>
        <w:rPr>
          <w:kern w:val="0"/>
          <w:szCs w:val="21"/>
        </w:rPr>
        <w:t>1</w:t>
      </w:r>
      <w:r>
        <w:rPr>
          <w:kern w:val="0"/>
          <w:szCs w:val="21"/>
          <w:lang w:val="zh-CN"/>
        </w:rPr>
        <w:t>次，缓苗后至初花期控制灌水，至根瓜坐住后，再浇水追肥，土壤湿度保持</w:t>
      </w:r>
      <w:r>
        <w:rPr>
          <w:kern w:val="0"/>
          <w:szCs w:val="21"/>
        </w:rPr>
        <w:t>60%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70%</w:t>
      </w:r>
      <w:r>
        <w:rPr>
          <w:kern w:val="0"/>
          <w:szCs w:val="21"/>
          <w:lang w:val="zh-CN"/>
        </w:rPr>
        <w:t>，夏秋茬保持在</w:t>
      </w:r>
      <w:r>
        <w:rPr>
          <w:kern w:val="0"/>
          <w:szCs w:val="21"/>
        </w:rPr>
        <w:t>75%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85%</w:t>
      </w:r>
      <w:r>
        <w:rPr>
          <w:kern w:val="0"/>
          <w:szCs w:val="21"/>
          <w:lang w:val="zh-CN"/>
        </w:rPr>
        <w:t>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104" w:name="_Toc493513147"/>
      <w:r>
        <w:rPr>
          <w:rFonts w:ascii="Times New Roman"/>
        </w:rPr>
        <w:t xml:space="preserve">8.4.2 </w:t>
      </w:r>
      <w:r>
        <w:rPr>
          <w:rFonts w:ascii="Times New Roman"/>
        </w:rPr>
        <w:t>追肥</w:t>
      </w:r>
      <w:bookmarkEnd w:id="104"/>
    </w:p>
    <w:p w:rsidR="004F4D85" w:rsidRDefault="00A743C1">
      <w:pPr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依黄瓜长势状况和生育期长短进行追肥，肥料的使用应符合</w:t>
      </w:r>
      <w:r>
        <w:rPr>
          <w:kern w:val="0"/>
          <w:szCs w:val="21"/>
        </w:rPr>
        <w:t>NY/T 394</w:t>
      </w:r>
      <w:r>
        <w:rPr>
          <w:kern w:val="0"/>
          <w:szCs w:val="21"/>
          <w:lang w:val="zh-CN"/>
        </w:rPr>
        <w:t>的要求。定植至坐瓜前，不追肥；根瓜采收后，加强肥水管理，前期每隔</w:t>
      </w:r>
      <w:r>
        <w:rPr>
          <w:kern w:val="0"/>
          <w:szCs w:val="21"/>
        </w:rPr>
        <w:t>10d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15d</w:t>
      </w:r>
      <w:r>
        <w:rPr>
          <w:kern w:val="0"/>
          <w:szCs w:val="21"/>
          <w:lang w:val="zh-CN"/>
        </w:rPr>
        <w:t>灌水一次，进入盛果期后，采收</w:t>
      </w:r>
      <w:r>
        <w:rPr>
          <w:kern w:val="0"/>
          <w:szCs w:val="21"/>
        </w:rPr>
        <w:t>2</w:t>
      </w:r>
      <w:r>
        <w:rPr>
          <w:kern w:val="0"/>
          <w:szCs w:val="21"/>
          <w:lang w:val="zh-CN"/>
        </w:rPr>
        <w:t>次灌水一次，并结合喷药，用</w:t>
      </w:r>
      <w:r>
        <w:rPr>
          <w:kern w:val="0"/>
          <w:szCs w:val="21"/>
        </w:rPr>
        <w:t>0.1%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0.2%</w:t>
      </w:r>
      <w:r>
        <w:rPr>
          <w:kern w:val="0"/>
          <w:szCs w:val="21"/>
          <w:lang w:val="zh-CN"/>
        </w:rPr>
        <w:t>磷酸二氢钾叶面喷施追肥，后期用</w:t>
      </w:r>
      <w:r>
        <w:rPr>
          <w:kern w:val="0"/>
          <w:szCs w:val="21"/>
        </w:rPr>
        <w:t>0.2%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0.3%</w:t>
      </w:r>
      <w:r>
        <w:rPr>
          <w:kern w:val="0"/>
          <w:szCs w:val="21"/>
          <w:lang w:val="zh-CN"/>
        </w:rPr>
        <w:t>的尿素或磷酸二氢钾进行叶面追肥。地膜覆盖滴灌栽培的结合灌水进行追肥。如遇到低温不便通风情况，应增施</w:t>
      </w:r>
      <w:r>
        <w:rPr>
          <w:kern w:val="0"/>
          <w:szCs w:val="21"/>
        </w:rPr>
        <w:t>CO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  <w:lang w:val="zh-CN"/>
        </w:rPr>
        <w:t>气体肥料，使保护地内</w:t>
      </w:r>
      <w:r>
        <w:rPr>
          <w:kern w:val="0"/>
          <w:szCs w:val="21"/>
        </w:rPr>
        <w:t>CO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  <w:lang w:val="zh-CN"/>
        </w:rPr>
        <w:t>含量达</w:t>
      </w:r>
      <w:r>
        <w:rPr>
          <w:kern w:val="0"/>
          <w:szCs w:val="21"/>
        </w:rPr>
        <w:t>800 cm</w:t>
      </w:r>
      <w:r>
        <w:rPr>
          <w:kern w:val="0"/>
          <w:szCs w:val="21"/>
          <w:vertAlign w:val="superscript"/>
        </w:rPr>
        <w:t>3</w:t>
      </w:r>
      <w:r>
        <w:rPr>
          <w:kern w:val="0"/>
          <w:szCs w:val="21"/>
        </w:rPr>
        <w:t>/m</w:t>
      </w:r>
      <w:r>
        <w:rPr>
          <w:kern w:val="0"/>
          <w:szCs w:val="21"/>
          <w:vertAlign w:val="superscript"/>
        </w:rPr>
        <w:t>3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1000 cm</w:t>
      </w:r>
      <w:r>
        <w:rPr>
          <w:kern w:val="0"/>
          <w:szCs w:val="21"/>
          <w:vertAlign w:val="superscript"/>
        </w:rPr>
        <w:t>3</w:t>
      </w:r>
      <w:r>
        <w:rPr>
          <w:kern w:val="0"/>
          <w:szCs w:val="21"/>
        </w:rPr>
        <w:t>/m</w:t>
      </w:r>
      <w:r>
        <w:rPr>
          <w:kern w:val="0"/>
          <w:szCs w:val="21"/>
          <w:vertAlign w:val="superscript"/>
        </w:rPr>
        <w:t>3</w:t>
      </w:r>
      <w:r>
        <w:rPr>
          <w:kern w:val="0"/>
          <w:szCs w:val="21"/>
          <w:lang w:val="zh-CN"/>
        </w:rPr>
        <w:t>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105" w:name="_Toc493513148"/>
      <w:bookmarkStart w:id="106" w:name="_Toc493528171"/>
      <w:bookmarkStart w:id="107" w:name="_Toc493513253"/>
      <w:r>
        <w:rPr>
          <w:rFonts w:ascii="Times New Roman"/>
        </w:rPr>
        <w:t>植株调整</w:t>
      </w:r>
      <w:bookmarkEnd w:id="105"/>
      <w:bookmarkEnd w:id="106"/>
      <w:bookmarkEnd w:id="107"/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108" w:name="_Toc493513149"/>
      <w:r>
        <w:rPr>
          <w:rFonts w:ascii="Times New Roman"/>
        </w:rPr>
        <w:t>8.5.1</w:t>
      </w:r>
      <w:r>
        <w:rPr>
          <w:rFonts w:ascii="Times New Roman"/>
        </w:rPr>
        <w:t>引蔓</w:t>
      </w:r>
      <w:bookmarkEnd w:id="108"/>
    </w:p>
    <w:p w:rsidR="004F4D85" w:rsidRDefault="00A743C1">
      <w:pPr>
        <w:autoSpaceDE w:val="0"/>
        <w:autoSpaceDN w:val="0"/>
        <w:adjustRightInd w:val="0"/>
        <w:ind w:firstLine="42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  <w:lang w:val="zh-CN"/>
        </w:rPr>
        <w:t>当植株高约</w:t>
      </w:r>
      <w:r>
        <w:rPr>
          <w:color w:val="000000"/>
          <w:kern w:val="0"/>
          <w:szCs w:val="21"/>
        </w:rPr>
        <w:t>30 cm</w:t>
      </w:r>
      <w:r>
        <w:rPr>
          <w:color w:val="000000"/>
          <w:kern w:val="0"/>
          <w:szCs w:val="21"/>
          <w:lang w:val="zh-CN"/>
        </w:rPr>
        <w:t>时，用尼龙绳或塑料绳吊蔓；或用长</w:t>
      </w:r>
      <w:r>
        <w:rPr>
          <w:color w:val="000000"/>
          <w:kern w:val="0"/>
          <w:szCs w:val="21"/>
        </w:rPr>
        <w:t>2.0 m</w:t>
      </w:r>
      <w:r>
        <w:rPr>
          <w:color w:val="000000"/>
          <w:kern w:val="0"/>
          <w:szCs w:val="21"/>
          <w:lang w:val="zh-CN"/>
        </w:rPr>
        <w:t>～</w:t>
      </w:r>
      <w:r>
        <w:rPr>
          <w:color w:val="000000"/>
          <w:kern w:val="0"/>
          <w:szCs w:val="21"/>
        </w:rPr>
        <w:t>2.5 m</w:t>
      </w:r>
      <w:r>
        <w:rPr>
          <w:color w:val="000000"/>
          <w:kern w:val="0"/>
          <w:szCs w:val="21"/>
          <w:lang w:val="zh-CN"/>
        </w:rPr>
        <w:t>的竹竿搭架，每株</w:t>
      </w:r>
      <w:r>
        <w:rPr>
          <w:color w:val="000000"/>
          <w:kern w:val="0"/>
          <w:szCs w:val="21"/>
        </w:rPr>
        <w:t>1</w:t>
      </w:r>
      <w:r>
        <w:rPr>
          <w:color w:val="000000"/>
          <w:kern w:val="0"/>
          <w:szCs w:val="21"/>
          <w:lang w:val="zh-CN"/>
        </w:rPr>
        <w:t>根竹竿，引蔓上架。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109" w:name="_Toc493513150"/>
      <w:r>
        <w:rPr>
          <w:rFonts w:ascii="Times New Roman"/>
        </w:rPr>
        <w:t>8.5.2</w:t>
      </w:r>
      <w:r>
        <w:rPr>
          <w:rFonts w:ascii="Times New Roman"/>
        </w:rPr>
        <w:t>植株调整</w:t>
      </w:r>
      <w:bookmarkEnd w:id="109"/>
    </w:p>
    <w:p w:rsidR="004F4D85" w:rsidRDefault="00A743C1">
      <w:pPr>
        <w:autoSpaceDE w:val="0"/>
        <w:autoSpaceDN w:val="0"/>
        <w:adjustRightInd w:val="0"/>
        <w:ind w:firstLine="42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  <w:lang w:val="zh-CN"/>
        </w:rPr>
        <w:t>黄瓜以主蔓结瓜为主，对非雌性系品种，第一雌花以下侧枝全部打掉，</w:t>
      </w:r>
      <w:r>
        <w:rPr>
          <w:color w:val="000000"/>
          <w:kern w:val="0"/>
          <w:szCs w:val="21"/>
        </w:rPr>
        <w:t>7</w:t>
      </w:r>
      <w:r>
        <w:rPr>
          <w:color w:val="000000"/>
          <w:kern w:val="0"/>
          <w:szCs w:val="21"/>
          <w:lang w:val="zh-CN"/>
        </w:rPr>
        <w:t>～</w:t>
      </w:r>
      <w:r>
        <w:rPr>
          <w:color w:val="000000"/>
          <w:kern w:val="0"/>
          <w:szCs w:val="21"/>
        </w:rPr>
        <w:t>8</w:t>
      </w:r>
      <w:r>
        <w:rPr>
          <w:color w:val="000000"/>
          <w:kern w:val="0"/>
          <w:szCs w:val="21"/>
          <w:lang w:val="zh-CN"/>
        </w:rPr>
        <w:t>节以下不留瓜，中上部侧枝可留</w:t>
      </w:r>
      <w:r>
        <w:rPr>
          <w:color w:val="000000"/>
          <w:kern w:val="0"/>
          <w:szCs w:val="21"/>
        </w:rPr>
        <w:t>1</w:t>
      </w:r>
      <w:r>
        <w:rPr>
          <w:color w:val="000000"/>
          <w:kern w:val="0"/>
          <w:szCs w:val="21"/>
          <w:lang w:val="zh-CN"/>
        </w:rPr>
        <w:t>瓜后留</w:t>
      </w:r>
      <w:r>
        <w:rPr>
          <w:color w:val="000000"/>
          <w:kern w:val="0"/>
          <w:szCs w:val="21"/>
        </w:rPr>
        <w:t>2</w:t>
      </w:r>
      <w:r>
        <w:rPr>
          <w:color w:val="000000"/>
          <w:kern w:val="0"/>
          <w:szCs w:val="21"/>
          <w:lang w:val="zh-CN"/>
        </w:rPr>
        <w:t>叶摘心。当结瓜部位上移后，及时摘除基部老化感病叶片，改善通风透光条件；应摘除卷须和雄花，减少营养消耗。用尼龙绳或塑料绳吊蔓的可解绳盘蔓，使茎顶端始终保持离地面</w:t>
      </w:r>
      <w:r>
        <w:rPr>
          <w:color w:val="000000"/>
          <w:kern w:val="0"/>
          <w:szCs w:val="21"/>
        </w:rPr>
        <w:t>1.5 m</w:t>
      </w:r>
      <w:r>
        <w:rPr>
          <w:color w:val="000000"/>
          <w:kern w:val="0"/>
          <w:szCs w:val="21"/>
          <w:lang w:val="zh-CN"/>
        </w:rPr>
        <w:t>～</w:t>
      </w:r>
      <w:r>
        <w:rPr>
          <w:color w:val="000000"/>
          <w:kern w:val="0"/>
          <w:szCs w:val="21"/>
        </w:rPr>
        <w:t>1.7 m</w:t>
      </w:r>
      <w:r>
        <w:rPr>
          <w:color w:val="000000"/>
          <w:kern w:val="0"/>
          <w:szCs w:val="21"/>
          <w:lang w:val="zh-CN"/>
        </w:rPr>
        <w:t>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110" w:name="_Toc493513151"/>
      <w:bookmarkStart w:id="111" w:name="_Toc493528172"/>
      <w:bookmarkStart w:id="112" w:name="_Toc493513254"/>
      <w:r>
        <w:rPr>
          <w:rFonts w:ascii="Times New Roman"/>
        </w:rPr>
        <w:t>授粉</w:t>
      </w:r>
      <w:bookmarkEnd w:id="110"/>
      <w:bookmarkEnd w:id="111"/>
      <w:bookmarkEnd w:id="112"/>
    </w:p>
    <w:p w:rsidR="004F4D85" w:rsidRDefault="00A743C1">
      <w:pPr>
        <w:autoSpaceDE w:val="0"/>
        <w:autoSpaceDN w:val="0"/>
        <w:adjustRightInd w:val="0"/>
        <w:ind w:firstLine="420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黄瓜人工辅助授粉提高座瓜率，开花后采下雄花蕊对准雌花柱头轻抹几次，减少脱落和畸形瓜。单性结实能力强的品种不须进行工辅助授粉。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113" w:name="_Toc493528173"/>
      <w:bookmarkStart w:id="114" w:name="_Toc493513255"/>
      <w:bookmarkStart w:id="115" w:name="_Toc493513152"/>
      <w:r>
        <w:rPr>
          <w:rFonts w:ascii="Times New Roman"/>
        </w:rPr>
        <w:t>病虫草害</w:t>
      </w:r>
      <w:bookmarkEnd w:id="113"/>
      <w:bookmarkEnd w:id="114"/>
      <w:bookmarkEnd w:id="115"/>
      <w:r>
        <w:rPr>
          <w:rFonts w:ascii="Times New Roman"/>
        </w:rPr>
        <w:t>防治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lastRenderedPageBreak/>
        <w:t>8.7.1</w:t>
      </w:r>
      <w:r>
        <w:rPr>
          <w:rFonts w:ascii="Times New Roman"/>
        </w:rPr>
        <w:t>常见病虫草害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 xml:space="preserve">8.7.1 .1 </w:t>
      </w:r>
      <w:r>
        <w:rPr>
          <w:rFonts w:ascii="Times New Roman"/>
        </w:rPr>
        <w:t>常见病害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黄瓜病害有真菌性、细菌性和病毒性病害。其中主要病害有：猝倒病、立枯病、霜霉病、白粉病、灰霉病、枯萎病、炭疽病、疫病等真菌性病害；细菌性角斑病；黄瓜花叶病毒（</w:t>
      </w:r>
      <w:r>
        <w:rPr>
          <w:color w:val="000000"/>
          <w:kern w:val="0"/>
          <w:szCs w:val="21"/>
        </w:rPr>
        <w:t>CMV</w:t>
      </w:r>
      <w:r>
        <w:rPr>
          <w:color w:val="000000"/>
          <w:kern w:val="0"/>
          <w:szCs w:val="21"/>
        </w:rPr>
        <w:t>）、烟草花叶病毒（</w:t>
      </w:r>
      <w:r>
        <w:rPr>
          <w:color w:val="000000"/>
          <w:kern w:val="0"/>
          <w:szCs w:val="21"/>
        </w:rPr>
        <w:t>TMV</w:t>
      </w:r>
      <w:r>
        <w:rPr>
          <w:color w:val="000000"/>
          <w:kern w:val="0"/>
          <w:szCs w:val="21"/>
        </w:rPr>
        <w:t>）和南瓜花叶病毒</w:t>
      </w:r>
      <w:r>
        <w:rPr>
          <w:color w:val="000000"/>
          <w:kern w:val="0"/>
          <w:szCs w:val="21"/>
        </w:rPr>
        <w:t>(SMV)</w:t>
      </w:r>
      <w:r>
        <w:rPr>
          <w:color w:val="000000"/>
          <w:kern w:val="0"/>
          <w:szCs w:val="21"/>
        </w:rPr>
        <w:t>侵染所致病毒性病害。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 xml:space="preserve">8.7.1 .2 </w:t>
      </w:r>
      <w:r>
        <w:rPr>
          <w:rFonts w:ascii="Times New Roman"/>
        </w:rPr>
        <w:t>常见虫害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黄瓜主要害虫有蚜虫、白粉虱、瓜实蝇、瓜绢螟、斜纹夜蛾、黄守瓜、红蜘蛛、美洲斑潜蝇。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 xml:space="preserve">8.7.1.3  </w:t>
      </w:r>
      <w:r>
        <w:rPr>
          <w:rFonts w:ascii="Times New Roman"/>
        </w:rPr>
        <w:t>常见草害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color w:val="000000"/>
          <w:kern w:val="0"/>
          <w:szCs w:val="21"/>
          <w:lang w:val="zh-CN"/>
        </w:rPr>
        <w:t>黄瓜田间主要杂草有双子叶杂草马齿苋、铁苋菜、荠菜、蒲公英、车前草、夏枯草等；单子叶杂草牛筋草、旱稗、看麦娘、早熟禾等。</w:t>
      </w:r>
    </w:p>
    <w:p w:rsidR="004F4D85" w:rsidRDefault="00A743C1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116" w:name="_Toc493513154"/>
      <w:r>
        <w:rPr>
          <w:rFonts w:ascii="Times New Roman"/>
        </w:rPr>
        <w:t xml:space="preserve">8.7.2 </w:t>
      </w:r>
      <w:r>
        <w:rPr>
          <w:rFonts w:ascii="Times New Roman"/>
        </w:rPr>
        <w:t>防控技术</w:t>
      </w:r>
      <w:bookmarkEnd w:id="116"/>
    </w:p>
    <w:p w:rsidR="004F4D85" w:rsidRDefault="00A743C1">
      <w:pPr>
        <w:pStyle w:val="a7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 xml:space="preserve">8.7.2.1  </w:t>
      </w:r>
      <w:r>
        <w:rPr>
          <w:rFonts w:ascii="Times New Roman"/>
        </w:rPr>
        <w:t>农业防治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Chars="200"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——</w:t>
      </w:r>
      <w:r>
        <w:rPr>
          <w:kern w:val="0"/>
          <w:szCs w:val="21"/>
          <w:lang w:val="zh-CN"/>
        </w:rPr>
        <w:t>品种：针对当地主要病虫控制对象，选用高抗多抗的品种。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——</w:t>
      </w:r>
      <w:r>
        <w:rPr>
          <w:kern w:val="0"/>
          <w:szCs w:val="21"/>
          <w:lang w:val="zh-CN"/>
        </w:rPr>
        <w:t>种植制度：通过与非瓜类作物轮作，合理选择不同作物实行间作或套作，辅以良好的栽培管理措施，合理的作物布局等。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——</w:t>
      </w:r>
      <w:r>
        <w:rPr>
          <w:kern w:val="0"/>
          <w:szCs w:val="21"/>
          <w:lang w:val="zh-CN"/>
        </w:rPr>
        <w:t>翻耕整地：采用耕翻</w:t>
      </w:r>
      <w:hyperlink r:id="rId11" w:history="1">
        <w:r>
          <w:rPr>
            <w:kern w:val="0"/>
            <w:szCs w:val="21"/>
            <w:lang w:val="zh-CN"/>
          </w:rPr>
          <w:t>整地</w:t>
        </w:r>
      </w:hyperlink>
      <w:r>
        <w:rPr>
          <w:kern w:val="0"/>
          <w:szCs w:val="21"/>
          <w:lang w:val="zh-CN"/>
        </w:rPr>
        <w:t>和改变</w:t>
      </w:r>
      <w:hyperlink r:id="rId12" w:history="1">
        <w:r>
          <w:rPr>
            <w:kern w:val="0"/>
            <w:szCs w:val="21"/>
            <w:lang w:val="zh-CN"/>
          </w:rPr>
          <w:t>土壤</w:t>
        </w:r>
      </w:hyperlink>
      <w:r>
        <w:rPr>
          <w:kern w:val="0"/>
          <w:szCs w:val="21"/>
          <w:lang w:val="zh-CN"/>
        </w:rPr>
        <w:t>环境，可使生活在土壤中和以土壤、作物根茬为越冬场所的有害生物经日晒、干燥、冷冻、深埋或被天敌捕食等而被治除。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Chars="200"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——</w:t>
      </w:r>
      <w:r>
        <w:rPr>
          <w:kern w:val="0"/>
          <w:szCs w:val="21"/>
          <w:lang w:val="zh-CN"/>
        </w:rPr>
        <w:t>播种：调节播种期、密度、深度等。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——</w:t>
      </w:r>
      <w:r>
        <w:rPr>
          <w:kern w:val="0"/>
          <w:szCs w:val="21"/>
          <w:lang w:val="zh-CN"/>
        </w:rPr>
        <w:t>田间管理：包括水分调节、合理施肥以及清洁田园等措施。保持瓜田清洁，发现病株和病叶要及时清除，深埋或烧毁，病株穴要用药剂进行消毒处理。科学施肥，控制氮肥使用，培育壮苗。全膜覆盖棚内地面，降低湿度，减少病害。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Chars="200"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——</w:t>
      </w:r>
      <w:r>
        <w:rPr>
          <w:kern w:val="0"/>
          <w:szCs w:val="21"/>
          <w:lang w:val="zh-CN"/>
        </w:rPr>
        <w:t>采收：及时清理瓜地，移除病叶、虫叶、老叶，保持田园清洁。</w:t>
      </w:r>
    </w:p>
    <w:p w:rsidR="004F4D85" w:rsidRDefault="00A743C1">
      <w:pPr>
        <w:pStyle w:val="a7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 xml:space="preserve">8.7.2.2  </w:t>
      </w:r>
      <w:r>
        <w:rPr>
          <w:rFonts w:ascii="Times New Roman"/>
        </w:rPr>
        <w:t>物理防治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——</w:t>
      </w:r>
      <w:r>
        <w:rPr>
          <w:kern w:val="0"/>
          <w:szCs w:val="21"/>
          <w:lang w:val="zh-CN"/>
        </w:rPr>
        <w:t>覆盖防虫网、塑料薄膜、遮阳网等，阻止害虫和病原菌进入棚室，从而减轻病虫害发生。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——</w:t>
      </w:r>
      <w:r>
        <w:rPr>
          <w:kern w:val="0"/>
          <w:szCs w:val="21"/>
          <w:lang w:val="zh-CN"/>
        </w:rPr>
        <w:t>利用害虫对灯光、颜色和气味的趋向性诱杀或驱避害虫，如黄色粘虫板可诱杀白粉虱、蚜虫、瓜实蝇、美洲斑潜蝇等害虫；覆盖银灰色地膜驱避蚜虫等；频振杀虫灯诱杀瓜绢螟、斜纹夜蛾等害虫；糖醋液可诱杀地下害虫。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——</w:t>
      </w:r>
      <w:r>
        <w:rPr>
          <w:kern w:val="0"/>
          <w:szCs w:val="21"/>
          <w:lang w:val="zh-CN"/>
        </w:rPr>
        <w:t>选择适宜的温度和处理时间，以能有效地杀死病原物而不损害植物。如温汤浸种，杀灭或钝化病原菌；利用覆盖塑料薄膜进行高温闷棚，杀灭棚内及土壤表层的病原菌、害虫和线虫等。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——</w:t>
      </w:r>
      <w:r>
        <w:rPr>
          <w:kern w:val="0"/>
          <w:szCs w:val="21"/>
          <w:lang w:val="zh-CN"/>
        </w:rPr>
        <w:t>覆盖</w:t>
      </w:r>
      <w:r>
        <w:rPr>
          <w:rFonts w:hint="eastAsia"/>
          <w:kern w:val="0"/>
          <w:szCs w:val="21"/>
          <w:lang w:val="zh-CN"/>
        </w:rPr>
        <w:t>有色地膜或无纺布防治杂草。</w:t>
      </w:r>
    </w:p>
    <w:p w:rsidR="004F4D85" w:rsidRDefault="00A743C1">
      <w:pPr>
        <w:pStyle w:val="a7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 xml:space="preserve">8.7.2.3 </w:t>
      </w:r>
      <w:r>
        <w:rPr>
          <w:rFonts w:ascii="Times New Roman"/>
        </w:rPr>
        <w:t>生物防治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——</w:t>
      </w:r>
      <w:r>
        <w:rPr>
          <w:kern w:val="0"/>
          <w:szCs w:val="21"/>
          <w:lang w:val="zh-CN"/>
        </w:rPr>
        <w:t>利用</w:t>
      </w:r>
      <w:hyperlink r:id="rId13" w:history="1">
        <w:r>
          <w:rPr>
            <w:kern w:val="0"/>
            <w:szCs w:val="21"/>
            <w:lang w:val="zh-CN"/>
          </w:rPr>
          <w:t>微生物防治</w:t>
        </w:r>
      </w:hyperlink>
      <w:r>
        <w:rPr>
          <w:kern w:val="0"/>
          <w:szCs w:val="21"/>
          <w:lang w:val="zh-CN"/>
        </w:rPr>
        <w:t>：常见的有应用真菌、细菌、病毒和能分泌</w:t>
      </w:r>
      <w:hyperlink r:id="rId14" w:history="1">
        <w:r>
          <w:rPr>
            <w:kern w:val="0"/>
            <w:szCs w:val="21"/>
            <w:lang w:val="zh-CN"/>
          </w:rPr>
          <w:t>抗生</w:t>
        </w:r>
      </w:hyperlink>
      <w:r>
        <w:rPr>
          <w:kern w:val="0"/>
          <w:szCs w:val="21"/>
          <w:lang w:val="zh-CN"/>
        </w:rPr>
        <w:t>物质的抗生菌，如微生物农药苏云金杆菌（</w:t>
      </w:r>
      <w:r>
        <w:rPr>
          <w:kern w:val="0"/>
          <w:szCs w:val="21"/>
        </w:rPr>
        <w:t>Bt</w:t>
      </w:r>
      <w:r>
        <w:rPr>
          <w:kern w:val="0"/>
          <w:szCs w:val="21"/>
          <w:lang w:val="zh-CN"/>
        </w:rPr>
        <w:t>）制剂、多杀霉素等。植物源农药：除虫菊酯、苦参碱、苦楝、川楝等。如白粉虱、蚜虫，红蜘蛛等用</w:t>
      </w:r>
      <w:r>
        <w:rPr>
          <w:kern w:val="0"/>
          <w:szCs w:val="21"/>
        </w:rPr>
        <w:t>2%</w:t>
      </w:r>
      <w:r>
        <w:rPr>
          <w:kern w:val="0"/>
          <w:szCs w:val="21"/>
          <w:lang w:val="zh-CN"/>
        </w:rPr>
        <w:t>印楝素乳油</w:t>
      </w:r>
      <w:r>
        <w:rPr>
          <w:kern w:val="0"/>
          <w:szCs w:val="21"/>
        </w:rPr>
        <w:t>1000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2000</w:t>
      </w:r>
      <w:r>
        <w:rPr>
          <w:kern w:val="0"/>
          <w:szCs w:val="21"/>
          <w:lang w:val="zh-CN"/>
        </w:rPr>
        <w:t>倍液。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——</w:t>
      </w:r>
      <w:r>
        <w:rPr>
          <w:kern w:val="0"/>
          <w:szCs w:val="21"/>
          <w:lang w:val="zh-CN"/>
        </w:rPr>
        <w:t>利用捕食性天敌防治。这类天敌很多，主要为食虫、食鼠的脊椎动物和捕食性节肢</w:t>
      </w:r>
      <w:r>
        <w:rPr>
          <w:kern w:val="0"/>
          <w:szCs w:val="21"/>
          <w:lang w:val="zh-CN"/>
        </w:rPr>
        <w:lastRenderedPageBreak/>
        <w:t>动物两大类。鸟类有山雀、灰喜雀、啄木鸟等捕食害虫的不同虫态。鼠类天敌如黄鼬、猫头鹰、蛇等，节肢动物中捕食性天敌有瓢虫、螳螂、蚂蚁等昆虫外，还有</w:t>
      </w:r>
      <w:hyperlink r:id="rId15" w:history="1">
        <w:r>
          <w:rPr>
            <w:kern w:val="0"/>
            <w:szCs w:val="21"/>
            <w:lang w:val="zh-CN"/>
          </w:rPr>
          <w:t>蜘蛛</w:t>
        </w:r>
      </w:hyperlink>
      <w:r>
        <w:rPr>
          <w:kern w:val="0"/>
          <w:szCs w:val="21"/>
          <w:lang w:val="zh-CN"/>
        </w:rPr>
        <w:t>和螨类。</w:t>
      </w:r>
    </w:p>
    <w:p w:rsidR="004F4D85" w:rsidRDefault="00A743C1">
      <w:pPr>
        <w:pStyle w:val="a7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 xml:space="preserve">8.7.2.4 </w:t>
      </w:r>
      <w:r>
        <w:rPr>
          <w:rFonts w:ascii="Times New Roman"/>
        </w:rPr>
        <w:t>化学防治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应符合</w:t>
      </w:r>
      <w:r>
        <w:rPr>
          <w:kern w:val="0"/>
          <w:szCs w:val="21"/>
        </w:rPr>
        <w:t>GB 4286</w:t>
      </w:r>
      <w:r>
        <w:rPr>
          <w:kern w:val="0"/>
          <w:szCs w:val="21"/>
          <w:lang w:val="zh-CN"/>
        </w:rPr>
        <w:t>、</w:t>
      </w:r>
      <w:r>
        <w:rPr>
          <w:kern w:val="0"/>
          <w:szCs w:val="21"/>
        </w:rPr>
        <w:t>GB/T 8321</w:t>
      </w:r>
      <w:r>
        <w:rPr>
          <w:kern w:val="0"/>
          <w:szCs w:val="21"/>
          <w:lang w:val="zh-CN"/>
        </w:rPr>
        <w:t>（所有部分）的要求和</w:t>
      </w:r>
      <w:r>
        <w:rPr>
          <w:kern w:val="0"/>
          <w:szCs w:val="21"/>
        </w:rPr>
        <w:t>NY/T 393</w:t>
      </w:r>
      <w:r>
        <w:rPr>
          <w:kern w:val="0"/>
          <w:szCs w:val="21"/>
          <w:lang w:val="zh-CN"/>
        </w:rPr>
        <w:t>的规定，严禁使用剧毒、高毒、高残留农药。化学防治方法参见附录</w:t>
      </w:r>
      <w:r>
        <w:rPr>
          <w:kern w:val="0"/>
          <w:szCs w:val="21"/>
        </w:rPr>
        <w:t>A</w:t>
      </w:r>
      <w:r>
        <w:rPr>
          <w:kern w:val="0"/>
          <w:szCs w:val="21"/>
          <w:lang w:val="zh-CN"/>
        </w:rPr>
        <w:t>进行。</w:t>
      </w:r>
    </w:p>
    <w:p w:rsidR="004F4D85" w:rsidRDefault="00A743C1">
      <w:pPr>
        <w:pStyle w:val="a4"/>
        <w:spacing w:before="312" w:after="312"/>
        <w:rPr>
          <w:rFonts w:ascii="Times New Roman"/>
        </w:rPr>
      </w:pPr>
      <w:bookmarkStart w:id="117" w:name="_Toc493512012"/>
      <w:bookmarkStart w:id="118" w:name="_Toc493513155"/>
      <w:bookmarkStart w:id="119" w:name="_Toc493528174"/>
      <w:bookmarkStart w:id="120" w:name="_Toc493513256"/>
      <w:r>
        <w:rPr>
          <w:rFonts w:ascii="Times New Roman"/>
        </w:rPr>
        <w:t>采收与包装</w:t>
      </w:r>
      <w:bookmarkEnd w:id="117"/>
      <w:bookmarkEnd w:id="118"/>
      <w:bookmarkEnd w:id="119"/>
      <w:bookmarkEnd w:id="120"/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121" w:name="_Toc493528175"/>
      <w:bookmarkStart w:id="122" w:name="_Toc493513257"/>
      <w:bookmarkStart w:id="123" w:name="_Toc493513156"/>
      <w:r>
        <w:rPr>
          <w:rFonts w:ascii="Times New Roman"/>
        </w:rPr>
        <w:t>采收</w:t>
      </w:r>
      <w:bookmarkEnd w:id="121"/>
      <w:bookmarkEnd w:id="122"/>
      <w:bookmarkEnd w:id="123"/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黄瓜以嫩瓜供食，一般雌花开花后</w:t>
      </w:r>
      <w:r>
        <w:rPr>
          <w:kern w:val="0"/>
          <w:szCs w:val="21"/>
        </w:rPr>
        <w:t>8d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12d</w:t>
      </w:r>
      <w:r>
        <w:rPr>
          <w:kern w:val="0"/>
          <w:szCs w:val="21"/>
          <w:lang w:val="zh-CN"/>
        </w:rPr>
        <w:t>采收，适时采摘根瓜，防止坠秧，及时分批采收，结果盛期</w:t>
      </w:r>
      <w:r>
        <w:rPr>
          <w:kern w:val="0"/>
          <w:szCs w:val="21"/>
        </w:rPr>
        <w:t>1 d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2 d</w:t>
      </w:r>
      <w:r>
        <w:rPr>
          <w:kern w:val="0"/>
          <w:szCs w:val="21"/>
          <w:lang w:val="zh-CN"/>
        </w:rPr>
        <w:t>采收</w:t>
      </w:r>
      <w:r>
        <w:rPr>
          <w:kern w:val="0"/>
          <w:szCs w:val="21"/>
        </w:rPr>
        <w:t>1</w:t>
      </w:r>
      <w:r>
        <w:rPr>
          <w:kern w:val="0"/>
          <w:szCs w:val="21"/>
          <w:lang w:val="zh-CN"/>
        </w:rPr>
        <w:t>次。采收时用剪刀把黄瓜剪下，轻拿轻放，防止机械损伤，分级包装上市。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124" w:name="_Toc493513258"/>
      <w:bookmarkStart w:id="125" w:name="_Toc493513157"/>
      <w:bookmarkStart w:id="126" w:name="_Toc493528176"/>
      <w:r>
        <w:rPr>
          <w:rFonts w:ascii="Times New Roman"/>
        </w:rPr>
        <w:t>包装</w:t>
      </w:r>
      <w:bookmarkEnd w:id="124"/>
      <w:bookmarkEnd w:id="125"/>
      <w:bookmarkEnd w:id="126"/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应符合</w:t>
      </w:r>
      <w:r>
        <w:rPr>
          <w:kern w:val="0"/>
          <w:szCs w:val="21"/>
        </w:rPr>
        <w:t>NY/T 658</w:t>
      </w:r>
      <w:r>
        <w:rPr>
          <w:kern w:val="0"/>
          <w:szCs w:val="21"/>
          <w:lang w:val="zh-CN"/>
        </w:rPr>
        <w:t>的要求。按产品的品种、规格分别包装。</w:t>
      </w:r>
    </w:p>
    <w:p w:rsidR="004F4D85" w:rsidRDefault="00A743C1">
      <w:pPr>
        <w:pStyle w:val="a4"/>
        <w:spacing w:before="312" w:after="312"/>
        <w:rPr>
          <w:rFonts w:ascii="Times New Roman"/>
        </w:rPr>
      </w:pPr>
      <w:bookmarkStart w:id="127" w:name="_Toc493528177"/>
      <w:bookmarkStart w:id="128" w:name="_Toc493513259"/>
      <w:bookmarkStart w:id="129" w:name="_Toc493513161"/>
      <w:bookmarkStart w:id="130" w:name="_Toc493512013"/>
      <w:r>
        <w:rPr>
          <w:rFonts w:ascii="Times New Roman"/>
        </w:rPr>
        <w:t>运输与贮存</w:t>
      </w:r>
      <w:bookmarkEnd w:id="127"/>
      <w:bookmarkEnd w:id="128"/>
      <w:bookmarkEnd w:id="129"/>
      <w:bookmarkEnd w:id="130"/>
      <w:r>
        <w:rPr>
          <w:rFonts w:ascii="Times New Roman"/>
        </w:rPr>
        <w:t xml:space="preserve"> </w:t>
      </w:r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应符合</w:t>
      </w:r>
      <w:r>
        <w:rPr>
          <w:kern w:val="0"/>
          <w:szCs w:val="21"/>
        </w:rPr>
        <w:t>NY/T1056</w:t>
      </w:r>
      <w:r>
        <w:rPr>
          <w:kern w:val="0"/>
          <w:szCs w:val="21"/>
          <w:lang w:val="zh-CN"/>
        </w:rPr>
        <w:t>的要求。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bookmarkStart w:id="131" w:name="_Toc493513260"/>
      <w:bookmarkStart w:id="132" w:name="_Toc493528178"/>
      <w:bookmarkStart w:id="133" w:name="_Toc493513162"/>
      <w:r>
        <w:rPr>
          <w:rFonts w:ascii="Times New Roman"/>
        </w:rPr>
        <w:t>运输</w:t>
      </w:r>
      <w:bookmarkEnd w:id="131"/>
      <w:bookmarkEnd w:id="132"/>
      <w:bookmarkEnd w:id="133"/>
    </w:p>
    <w:p w:rsidR="004F4D85" w:rsidRDefault="00A743C1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kern w:val="0"/>
          <w:szCs w:val="21"/>
          <w:lang w:val="zh-CN"/>
        </w:rPr>
        <w:t>运输工具清洁、卫生、无污染；装运时做到轻装、轻卸、严防机械损伤。运输过程中注意防冻、防雨淋、防晒、通风散热，严禁与有害有毒物质混装。长途运输时应冷藏，可采用加冰制冷或机械制冷方法冷却到规定的温度。</w:t>
      </w:r>
      <w:r>
        <w:rPr>
          <w:kern w:val="0"/>
          <w:szCs w:val="21"/>
        </w:rPr>
        <w:t xml:space="preserve"> </w:t>
      </w:r>
    </w:p>
    <w:p w:rsidR="004F4D85" w:rsidRDefault="00A743C1">
      <w:pPr>
        <w:pStyle w:val="a5"/>
        <w:spacing w:before="156" w:after="156"/>
        <w:ind w:left="0"/>
        <w:rPr>
          <w:rFonts w:ascii="Times New Roman"/>
        </w:rPr>
      </w:pPr>
      <w:r>
        <w:rPr>
          <w:rFonts w:ascii="Times New Roman"/>
        </w:rPr>
        <w:t>贮藏</w:t>
      </w:r>
    </w:p>
    <w:p w:rsidR="004F4D85" w:rsidRDefault="00A743C1">
      <w:pPr>
        <w:autoSpaceDE w:val="0"/>
        <w:autoSpaceDN w:val="0"/>
        <w:adjustRightInd w:val="0"/>
        <w:ind w:firstLine="412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贮藏时应按品种、规格分别贮存。贮存温度：</w:t>
      </w:r>
      <w:r>
        <w:rPr>
          <w:kern w:val="0"/>
          <w:szCs w:val="21"/>
        </w:rPr>
        <w:t>10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12</w:t>
      </w:r>
      <w:r>
        <w:rPr>
          <w:kern w:val="0"/>
          <w:szCs w:val="21"/>
          <w:lang w:val="zh-CN"/>
        </w:rPr>
        <w:t>℃</w:t>
      </w:r>
      <w:r>
        <w:rPr>
          <w:kern w:val="0"/>
          <w:szCs w:val="21"/>
          <w:lang w:val="zh-CN"/>
        </w:rPr>
        <w:t>，贮存空气相对湿度保持在</w:t>
      </w:r>
      <w:r>
        <w:rPr>
          <w:kern w:val="0"/>
          <w:szCs w:val="21"/>
        </w:rPr>
        <w:t>90%</w:t>
      </w:r>
      <w:r>
        <w:rPr>
          <w:kern w:val="0"/>
          <w:szCs w:val="21"/>
          <w:lang w:val="zh-CN"/>
        </w:rPr>
        <w:t>～</w:t>
      </w:r>
      <w:r>
        <w:rPr>
          <w:kern w:val="0"/>
          <w:szCs w:val="21"/>
        </w:rPr>
        <w:t>95%</w:t>
      </w:r>
      <w:r>
        <w:rPr>
          <w:kern w:val="0"/>
          <w:szCs w:val="21"/>
          <w:lang w:val="zh-CN"/>
        </w:rPr>
        <w:t>。库内堆码应保证气流均匀流通。</w:t>
      </w:r>
    </w:p>
    <w:p w:rsidR="004F4D85" w:rsidRDefault="00A743C1">
      <w:pPr>
        <w:pStyle w:val="a4"/>
        <w:spacing w:before="312" w:after="312"/>
        <w:rPr>
          <w:rFonts w:ascii="Times New Roman"/>
        </w:rPr>
      </w:pPr>
      <w:r>
        <w:rPr>
          <w:rFonts w:ascii="Times New Roman"/>
        </w:rPr>
        <w:t>记录档案</w:t>
      </w:r>
    </w:p>
    <w:p w:rsidR="004F4D85" w:rsidRDefault="00A743C1">
      <w:pPr>
        <w:pStyle w:val="a4"/>
        <w:numPr>
          <w:ilvl w:val="0"/>
          <w:numId w:val="0"/>
        </w:numPr>
        <w:spacing w:before="312" w:after="312"/>
        <w:ind w:firstLineChars="200" w:firstLine="420"/>
        <w:rPr>
          <w:rFonts w:ascii="Times New Roman" w:eastAsia="宋体"/>
          <w:szCs w:val="21"/>
          <w:lang w:val="zh-CN"/>
        </w:rPr>
      </w:pPr>
      <w:r>
        <w:rPr>
          <w:rFonts w:ascii="Times New Roman" w:eastAsia="宋体"/>
          <w:szCs w:val="21"/>
          <w:lang w:val="zh-CN"/>
        </w:rPr>
        <w:t>建立绿色食品黄瓜生产档案。应详细记录产地环境条件、生产技术、肥水管理、病虫害的发生和防治措施、采收及采后处理等情况并保存记录</w:t>
      </w:r>
      <w:r>
        <w:rPr>
          <w:rFonts w:ascii="Times New Roman" w:eastAsia="宋体"/>
          <w:szCs w:val="21"/>
          <w:lang w:val="zh-CN"/>
        </w:rPr>
        <w:t>3</w:t>
      </w:r>
      <w:r>
        <w:rPr>
          <w:rFonts w:ascii="Times New Roman" w:eastAsia="宋体"/>
          <w:szCs w:val="21"/>
          <w:lang w:val="zh-CN"/>
        </w:rPr>
        <w:t>年以上。</w:t>
      </w:r>
    </w:p>
    <w:p w:rsidR="004F4D85" w:rsidRDefault="00A743C1">
      <w:pPr>
        <w:pStyle w:val="a4"/>
        <w:spacing w:before="312" w:after="312"/>
        <w:rPr>
          <w:rFonts w:ascii="Times New Roman"/>
        </w:rPr>
      </w:pPr>
      <w:r>
        <w:rPr>
          <w:rFonts w:ascii="Times New Roman"/>
        </w:rPr>
        <w:t>生产废弃物的处理</w:t>
      </w:r>
    </w:p>
    <w:p w:rsidR="004F4D85" w:rsidRDefault="00A743C1">
      <w:pPr>
        <w:pStyle w:val="aff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黄瓜生产中产生的主要废弃物有使用的农药包装袋（瓶）、农膜、架材和植株残体等，应及时进行无害化处理，使用的农药包装袋（瓶）、农膜应集中回收再生加工利用，不可随处堆放。植株残体可集中堆沤充分发酵后作为有机肥回田，增加土壤的有机质，改良土壤，培肥地力。</w:t>
      </w:r>
    </w:p>
    <w:p w:rsidR="004F4D85" w:rsidRDefault="004F4D85">
      <w:pPr>
        <w:pStyle w:val="aa"/>
      </w:pPr>
    </w:p>
    <w:p w:rsidR="004F4D85" w:rsidRDefault="004F4D85">
      <w:pPr>
        <w:pStyle w:val="af5"/>
      </w:pPr>
    </w:p>
    <w:p w:rsidR="004F4D85" w:rsidRDefault="004F4D85">
      <w:pPr>
        <w:jc w:val="center"/>
      </w:pPr>
    </w:p>
    <w:p w:rsidR="004F4D85" w:rsidRDefault="00A743C1">
      <w:pPr>
        <w:jc w:val="center"/>
        <w:rPr>
          <w:rFonts w:ascii="黑体" w:eastAsia="黑体"/>
          <w:kern w:val="0"/>
          <w:szCs w:val="20"/>
        </w:rPr>
      </w:pPr>
      <w:r>
        <w:rPr>
          <w:rFonts w:ascii="黑体" w:eastAsia="黑体" w:hint="eastAsia"/>
          <w:kern w:val="0"/>
          <w:szCs w:val="20"/>
        </w:rPr>
        <w:t>附 录 A</w:t>
      </w:r>
      <w:r>
        <w:rPr>
          <w:rFonts w:ascii="黑体" w:eastAsia="黑体"/>
          <w:kern w:val="0"/>
          <w:szCs w:val="20"/>
        </w:rPr>
        <w:br/>
      </w:r>
      <w:bookmarkStart w:id="134" w:name="_Toc493528180"/>
      <w:r>
        <w:rPr>
          <w:rFonts w:ascii="黑体" w:eastAsia="黑体"/>
          <w:kern w:val="0"/>
          <w:szCs w:val="20"/>
        </w:rPr>
        <w:t>（资料性附录）</w:t>
      </w:r>
      <w:r>
        <w:rPr>
          <w:rFonts w:ascii="黑体" w:eastAsia="黑体"/>
          <w:kern w:val="0"/>
          <w:szCs w:val="20"/>
        </w:rPr>
        <w:br/>
        <w:t>长江流域绿色食品塑料大棚黄瓜</w:t>
      </w:r>
      <w:r>
        <w:rPr>
          <w:rFonts w:ascii="黑体" w:eastAsia="黑体" w:hint="eastAsia"/>
          <w:kern w:val="0"/>
          <w:szCs w:val="20"/>
        </w:rPr>
        <w:t>生产主要病虫草害化学防治方案</w:t>
      </w:r>
      <w:bookmarkEnd w:id="134"/>
    </w:p>
    <w:p w:rsidR="004F4D85" w:rsidRDefault="004F4D85">
      <w:pPr>
        <w:jc w:val="center"/>
        <w:rPr>
          <w:rFonts w:ascii="黑体" w:eastAsia="黑体"/>
          <w:kern w:val="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1014"/>
        <w:gridCol w:w="2346"/>
        <w:gridCol w:w="1715"/>
        <w:gridCol w:w="631"/>
        <w:gridCol w:w="1184"/>
      </w:tblGrid>
      <w:tr w:rsidR="004F4D85">
        <w:trPr>
          <w:trHeight w:val="39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u w:val="double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使用剂量</w:t>
            </w:r>
          </w:p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ml(g)/亩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施药</w:t>
            </w:r>
          </w:p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方法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安全间隔期</w:t>
            </w:r>
          </w:p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天数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猝倒病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苗期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722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g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L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霜霉威水剂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3330ml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～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5328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ml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苗床浇灌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霜霉病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80%波尔多液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可湿性粉剂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97g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～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125g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1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4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5" w:rsidRDefault="004F4D8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发生初期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80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%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嘧菌酯水分散粒剂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1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g～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 xml:space="preserve">g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5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白粉病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50%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硫磺悬浮剂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1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0g～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0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ml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10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4F4D8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70%甲基硫菌灵可湿性粉剂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0g～4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 xml:space="preserve">g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4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灰霉病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25%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嘧霉胺可湿性粉剂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120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g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～150g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7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枯萎病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50%</w:t>
            </w:r>
            <w:r w:rsidR="00282DA7" w:rsidRPr="00282DA7">
              <w:rPr>
                <w:rFonts w:ascii="宋体" w:cs="宋体"/>
                <w:kern w:val="0"/>
                <w:sz w:val="18"/>
                <w:szCs w:val="18"/>
                <w:lang w:val="zh-CN"/>
              </w:rPr>
              <w:t>甲基硫菌灵悬浮剂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60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g～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0g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282DA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 w:rsidRPr="00282DA7">
              <w:rPr>
                <w:rFonts w:ascii="宋体" w:cs="宋体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炭疽病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25%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吡唑醚菌酯悬浮剂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20ml～40ml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1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疫病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50%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烯酰吗啉可湿性粉剂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30g～40g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2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细菌性角斑病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2%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春雷霉素水剂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140ml～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210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ml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4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蚜虫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70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％啶虫脒水分散粒剂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g～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2.5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g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4F4D8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4F4D85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2</w:t>
            </w:r>
            <w:r w:rsidR="00282DA7" w:rsidRPr="00282DA7">
              <w:rPr>
                <w:rFonts w:ascii="宋体" w:cs="宋体"/>
                <w:kern w:val="0"/>
                <w:sz w:val="18"/>
                <w:szCs w:val="18"/>
                <w:lang w:val="zh-CN"/>
              </w:rPr>
              <w:t>0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％氟啶虫酰胺</w:t>
            </w:r>
            <w:r w:rsidR="00282DA7" w:rsidRPr="00282DA7">
              <w:rPr>
                <w:rFonts w:ascii="宋体" w:cs="宋体"/>
                <w:kern w:val="0"/>
                <w:sz w:val="18"/>
                <w:szCs w:val="18"/>
                <w:lang w:val="zh-CN"/>
              </w:rPr>
              <w:t>水分散粒剂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15g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～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5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g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3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白粉虱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25%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噻虫嗪水分散粒剂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10g～12g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5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美洲斑潜蝇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发生期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80%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灭蝇胺可湿性粉剂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g～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18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g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4F4D85">
        <w:trPr>
          <w:trHeight w:val="397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5" w:rsidRDefault="00A743C1"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农药使用以最新版本NY/T393的规定为准。</w:t>
            </w:r>
          </w:p>
        </w:tc>
      </w:tr>
    </w:tbl>
    <w:p w:rsidR="004F4D85" w:rsidRDefault="004F4D85">
      <w:pPr>
        <w:rPr>
          <w:i/>
        </w:rPr>
      </w:pPr>
    </w:p>
    <w:p w:rsidR="004F4D85" w:rsidRDefault="00A743C1">
      <w:pPr>
        <w:pStyle w:val="affffff1"/>
        <w:framePr w:wrap="around" w:y="1"/>
        <w:spacing w:before="1965"/>
        <w:rPr>
          <w:i/>
        </w:rPr>
      </w:pPr>
      <w:r>
        <w:rPr>
          <w:i/>
        </w:rPr>
        <w:t>_________________________________</w:t>
      </w:r>
    </w:p>
    <w:p w:rsidR="004F4D85" w:rsidRDefault="00A743C1">
      <w:pPr>
        <w:jc w:val="center"/>
      </w:pPr>
      <w:r>
        <w:rPr>
          <w:rFonts w:hint="eastAsia"/>
        </w:rPr>
        <w:t xml:space="preserve">  </w:t>
      </w:r>
    </w:p>
    <w:p w:rsidR="004F4D85" w:rsidRDefault="004F4D85">
      <w:pPr>
        <w:pStyle w:val="af5"/>
      </w:pPr>
    </w:p>
    <w:p w:rsidR="004F4D85" w:rsidRDefault="004F4D85">
      <w:pPr>
        <w:pStyle w:val="afff0"/>
      </w:pPr>
    </w:p>
    <w:p w:rsidR="004F4D85" w:rsidRDefault="004F4D85">
      <w:pPr>
        <w:pStyle w:val="afff0"/>
      </w:pPr>
    </w:p>
    <w:p w:rsidR="004F4D85" w:rsidRDefault="004F4D85">
      <w:pPr>
        <w:pStyle w:val="afff0"/>
      </w:pPr>
    </w:p>
    <w:p w:rsidR="004F4D85" w:rsidRDefault="004F4D85">
      <w:pPr>
        <w:pStyle w:val="afff0"/>
      </w:pPr>
    </w:p>
    <w:p w:rsidR="004F4D85" w:rsidRDefault="004F4D85">
      <w:pPr>
        <w:pStyle w:val="afff0"/>
      </w:pPr>
    </w:p>
    <w:p w:rsidR="004F4D85" w:rsidRDefault="004F4D85">
      <w:pPr>
        <w:pStyle w:val="afff0"/>
      </w:pPr>
    </w:p>
    <w:p w:rsidR="004F4D85" w:rsidRDefault="004F4D85">
      <w:pPr>
        <w:pStyle w:val="afff0"/>
      </w:pPr>
    </w:p>
    <w:p w:rsidR="004F4D85" w:rsidRDefault="004F4D85">
      <w:pPr>
        <w:pStyle w:val="afff0"/>
      </w:pPr>
    </w:p>
    <w:p w:rsidR="004F4D85" w:rsidRDefault="004F4D85">
      <w:pPr>
        <w:pStyle w:val="afff0"/>
      </w:pPr>
    </w:p>
    <w:p w:rsidR="004F4D85" w:rsidRDefault="004F4D85">
      <w:pPr>
        <w:pStyle w:val="afff0"/>
      </w:pPr>
    </w:p>
    <w:p w:rsidR="004F4D85" w:rsidRDefault="004F4D85">
      <w:pPr>
        <w:pStyle w:val="afff0"/>
      </w:pPr>
    </w:p>
    <w:p w:rsidR="004F4D85" w:rsidRDefault="004F4D85">
      <w:pPr>
        <w:pStyle w:val="afff0"/>
      </w:pPr>
    </w:p>
    <w:p w:rsidR="004F4D85" w:rsidRDefault="004F4D85">
      <w:pPr>
        <w:pStyle w:val="afff0"/>
      </w:pPr>
      <w:bookmarkStart w:id="135" w:name="_GoBack"/>
      <w:bookmarkEnd w:id="135"/>
    </w:p>
    <w:sectPr w:rsidR="004F4D85" w:rsidSect="004F4D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B7A" w:rsidRDefault="00A96B7A" w:rsidP="004F4D85">
      <w:r>
        <w:separator/>
      </w:r>
    </w:p>
  </w:endnote>
  <w:endnote w:type="continuationSeparator" w:id="1">
    <w:p w:rsidR="00A96B7A" w:rsidRDefault="00A96B7A" w:rsidP="004F4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D85" w:rsidRDefault="00282DA7">
    <w:pPr>
      <w:pStyle w:val="afffff1"/>
    </w:pPr>
    <w:r>
      <w:fldChar w:fldCharType="begin"/>
    </w:r>
    <w:r w:rsidR="00A743C1">
      <w:instrText xml:space="preserve"> PAGE  \* MERGEFORMAT </w:instrText>
    </w:r>
    <w:r>
      <w:fldChar w:fldCharType="separate"/>
    </w:r>
    <w:r w:rsidR="00CB7DC4">
      <w:rPr>
        <w:noProof/>
      </w:rPr>
      <w:t>10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B7A" w:rsidRDefault="00A96B7A" w:rsidP="004F4D85">
      <w:r>
        <w:separator/>
      </w:r>
    </w:p>
  </w:footnote>
  <w:footnote w:type="continuationSeparator" w:id="1">
    <w:p w:rsidR="00A96B7A" w:rsidRDefault="00A96B7A" w:rsidP="004F4D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4537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1985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a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b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>
      <w:start w:val="1"/>
      <w:numFmt w:val="lowerLetter"/>
      <w:pStyle w:val="afc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d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>
      <w:start w:val="1"/>
      <w:numFmt w:val="none"/>
      <w:pStyle w:val="afe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3"/>
  </w:num>
  <w:num w:numId="5">
    <w:abstractNumId w:val="15"/>
  </w:num>
  <w:num w:numId="6">
    <w:abstractNumId w:val="5"/>
  </w:num>
  <w:num w:numId="7">
    <w:abstractNumId w:val="16"/>
  </w:num>
  <w:num w:numId="8">
    <w:abstractNumId w:val="6"/>
  </w:num>
  <w:num w:numId="9">
    <w:abstractNumId w:val="9"/>
  </w:num>
  <w:num w:numId="10">
    <w:abstractNumId w:val="7"/>
  </w:num>
  <w:num w:numId="11">
    <w:abstractNumId w:val="2"/>
  </w:num>
  <w:num w:numId="12">
    <w:abstractNumId w:val="10"/>
  </w:num>
  <w:num w:numId="13">
    <w:abstractNumId w:val="13"/>
  </w:num>
  <w:num w:numId="14">
    <w:abstractNumId w:val="11"/>
  </w:num>
  <w:num w:numId="15">
    <w:abstractNumId w:val="12"/>
  </w:num>
  <w:num w:numId="16">
    <w:abstractNumId w:val="0"/>
  </w:num>
  <w:num w:numId="1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三杜">
    <w15:presenceInfo w15:providerId="WPS Office" w15:userId="396593147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9FC"/>
    <w:rsid w:val="000038A8"/>
    <w:rsid w:val="000274FA"/>
    <w:rsid w:val="0007378B"/>
    <w:rsid w:val="000861FF"/>
    <w:rsid w:val="000905B5"/>
    <w:rsid w:val="00097178"/>
    <w:rsid w:val="000B05F1"/>
    <w:rsid w:val="000C19FC"/>
    <w:rsid w:val="000D586E"/>
    <w:rsid w:val="000E1D3D"/>
    <w:rsid w:val="000E7E92"/>
    <w:rsid w:val="000F5DCD"/>
    <w:rsid w:val="00154BC9"/>
    <w:rsid w:val="00180CBB"/>
    <w:rsid w:val="001901C3"/>
    <w:rsid w:val="001A5389"/>
    <w:rsid w:val="001A55F4"/>
    <w:rsid w:val="001D063A"/>
    <w:rsid w:val="00215405"/>
    <w:rsid w:val="00222497"/>
    <w:rsid w:val="00222512"/>
    <w:rsid w:val="0023101C"/>
    <w:rsid w:val="00231C64"/>
    <w:rsid w:val="00282DA7"/>
    <w:rsid w:val="002A2381"/>
    <w:rsid w:val="002C6823"/>
    <w:rsid w:val="002F249F"/>
    <w:rsid w:val="00334A72"/>
    <w:rsid w:val="00342A1B"/>
    <w:rsid w:val="003928F3"/>
    <w:rsid w:val="003A1F2B"/>
    <w:rsid w:val="003C52B9"/>
    <w:rsid w:val="00415E81"/>
    <w:rsid w:val="00424251"/>
    <w:rsid w:val="004536C8"/>
    <w:rsid w:val="00477547"/>
    <w:rsid w:val="00497854"/>
    <w:rsid w:val="004A409B"/>
    <w:rsid w:val="004C7A07"/>
    <w:rsid w:val="004D197F"/>
    <w:rsid w:val="004E485C"/>
    <w:rsid w:val="004F293E"/>
    <w:rsid w:val="004F4D85"/>
    <w:rsid w:val="00512FAF"/>
    <w:rsid w:val="00582B6D"/>
    <w:rsid w:val="0059573D"/>
    <w:rsid w:val="005C33A3"/>
    <w:rsid w:val="005C513D"/>
    <w:rsid w:val="005D0AF7"/>
    <w:rsid w:val="005E3B63"/>
    <w:rsid w:val="005F1B17"/>
    <w:rsid w:val="006178D9"/>
    <w:rsid w:val="006328AE"/>
    <w:rsid w:val="00676393"/>
    <w:rsid w:val="006B217C"/>
    <w:rsid w:val="006F497F"/>
    <w:rsid w:val="00704AF9"/>
    <w:rsid w:val="007103D1"/>
    <w:rsid w:val="007355FF"/>
    <w:rsid w:val="00745BDD"/>
    <w:rsid w:val="00753286"/>
    <w:rsid w:val="007632F0"/>
    <w:rsid w:val="00773F7F"/>
    <w:rsid w:val="007849F1"/>
    <w:rsid w:val="007A6A8C"/>
    <w:rsid w:val="007C0DD5"/>
    <w:rsid w:val="007C17E0"/>
    <w:rsid w:val="007D03D3"/>
    <w:rsid w:val="007E4304"/>
    <w:rsid w:val="007F671F"/>
    <w:rsid w:val="008034D8"/>
    <w:rsid w:val="0080519A"/>
    <w:rsid w:val="00810BF4"/>
    <w:rsid w:val="0081290A"/>
    <w:rsid w:val="00823BE3"/>
    <w:rsid w:val="008331F1"/>
    <w:rsid w:val="00834684"/>
    <w:rsid w:val="00834F1B"/>
    <w:rsid w:val="00866D32"/>
    <w:rsid w:val="008A1685"/>
    <w:rsid w:val="008D284B"/>
    <w:rsid w:val="008D7FAC"/>
    <w:rsid w:val="0095632A"/>
    <w:rsid w:val="009953AD"/>
    <w:rsid w:val="009B59A4"/>
    <w:rsid w:val="009F4F6F"/>
    <w:rsid w:val="00A06E96"/>
    <w:rsid w:val="00A136F5"/>
    <w:rsid w:val="00A40721"/>
    <w:rsid w:val="00A66601"/>
    <w:rsid w:val="00A74179"/>
    <w:rsid w:val="00A743C1"/>
    <w:rsid w:val="00A87EC1"/>
    <w:rsid w:val="00A96B7A"/>
    <w:rsid w:val="00AF158F"/>
    <w:rsid w:val="00B83C0E"/>
    <w:rsid w:val="00B85080"/>
    <w:rsid w:val="00BA7915"/>
    <w:rsid w:val="00BC34AC"/>
    <w:rsid w:val="00BC4BBD"/>
    <w:rsid w:val="00C00F50"/>
    <w:rsid w:val="00C217B7"/>
    <w:rsid w:val="00C31BE6"/>
    <w:rsid w:val="00C42369"/>
    <w:rsid w:val="00C63DA1"/>
    <w:rsid w:val="00C66FDA"/>
    <w:rsid w:val="00C95929"/>
    <w:rsid w:val="00CB7DC4"/>
    <w:rsid w:val="00CD3C03"/>
    <w:rsid w:val="00CE49F7"/>
    <w:rsid w:val="00CE6013"/>
    <w:rsid w:val="00CF1D3F"/>
    <w:rsid w:val="00CF525C"/>
    <w:rsid w:val="00D04638"/>
    <w:rsid w:val="00D235D2"/>
    <w:rsid w:val="00D30948"/>
    <w:rsid w:val="00D3142D"/>
    <w:rsid w:val="00D6646A"/>
    <w:rsid w:val="00DA6DCC"/>
    <w:rsid w:val="00DC5694"/>
    <w:rsid w:val="00E04D43"/>
    <w:rsid w:val="00E13C1C"/>
    <w:rsid w:val="00E155D5"/>
    <w:rsid w:val="00E30810"/>
    <w:rsid w:val="00E31E64"/>
    <w:rsid w:val="00E45934"/>
    <w:rsid w:val="00E538F5"/>
    <w:rsid w:val="00E6272A"/>
    <w:rsid w:val="00E74F9B"/>
    <w:rsid w:val="00E8454D"/>
    <w:rsid w:val="00EB0D3A"/>
    <w:rsid w:val="00EF0A50"/>
    <w:rsid w:val="00F12863"/>
    <w:rsid w:val="00F51B1E"/>
    <w:rsid w:val="00F7246A"/>
    <w:rsid w:val="00F76CA2"/>
    <w:rsid w:val="00F8609D"/>
    <w:rsid w:val="00F87B3D"/>
    <w:rsid w:val="00F93F11"/>
    <w:rsid w:val="00FC1780"/>
    <w:rsid w:val="00FE48F1"/>
    <w:rsid w:val="3AC02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  <o:rules v:ext="edit">
        <o:r id="V:Rule3" type="connector" idref="#自选图形 3"/>
        <o:r id="V:Rule4" type="connector" idref="#自选图形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0" w:uiPriority="0" w:unhideWhenUsed="1" w:qFormat="1"/>
    <w:lsdException w:name="index 2" w:semiHidden="0" w:uiPriority="0" w:qFormat="1"/>
    <w:lsdException w:name="index 3" w:semiHidden="0" w:uiPriority="0" w:qFormat="1"/>
    <w:lsdException w:name="index 4" w:semiHidden="0" w:uiPriority="0"/>
    <w:lsdException w:name="index 5" w:semiHidden="0" w:uiPriority="0" w:qFormat="1"/>
    <w:lsdException w:name="index 6" w:semiHidden="0" w:uiPriority="0" w:qFormat="1"/>
    <w:lsdException w:name="index 7" w:semiHidden="0" w:uiPriority="0" w:qFormat="1"/>
    <w:lsdException w:name="index 8" w:semiHidden="0" w:uiPriority="0" w:qFormat="1"/>
    <w:lsdException w:name="index 9" w:semiHidden="0" w:uiPriority="0"/>
    <w:lsdException w:name="toc 1" w:uiPriority="0" w:qFormat="1"/>
    <w:lsdException w:name="toc 2" w:uiPriority="0" w:qFormat="1"/>
    <w:lsdException w:name="toc 3" w:uiPriority="0" w:qFormat="1"/>
    <w:lsdException w:name="toc 4" w:uiPriority="0" w:qFormat="1"/>
    <w:lsdException w:name="toc 5" w:uiPriority="0"/>
    <w:lsdException w:name="toc 6" w:uiPriority="0"/>
    <w:lsdException w:name="toc 7" w:uiPriority="0" w:qFormat="1"/>
    <w:lsdException w:name="toc 8" w:uiPriority="0" w:qFormat="1"/>
    <w:lsdException w:name="toc 9" w:uiPriority="0" w:qFormat="1"/>
    <w:lsdException w:name="Normal Indent" w:unhideWhenUsed="1"/>
    <w:lsdException w:name="footnote text" w:semiHidden="0" w:uiPriority="0" w:qFormat="1"/>
    <w:lsdException w:name="annotation text" w:unhideWhenUsed="1"/>
    <w:lsdException w:name="header" w:semiHidden="0" w:uiPriority="0"/>
    <w:lsdException w:name="footer" w:semiHidden="0" w:uiPriority="0" w:qFormat="1"/>
    <w:lsdException w:name="index heading" w:semiHidden="0" w:uiPriority="0" w:qFormat="1"/>
    <w:lsdException w:name="caption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/>
    <w:lsdException w:name="annotation reference" w:unhideWhenUsed="1"/>
    <w:lsdException w:name="line number" w:unhideWhenUsed="1"/>
    <w:lsdException w:name="page number" w:semiHidden="0" w:uiPriority="0"/>
    <w:lsdException w:name="endnote reference" w:uiPriority="0"/>
    <w:lsdException w:name="endnote text" w:uiPriority="0" w:qFormat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uiPriority="0"/>
    <w:lsdException w:name="FollowedHyperlink" w:unhideWhenUsed="1" w:qFormat="1"/>
    <w:lsdException w:name="Strong" w:semiHidden="0" w:uiPriority="22" w:qFormat="1"/>
    <w:lsdException w:name="Emphasis" w:semiHidden="0" w:uiPriority="20" w:qFormat="1"/>
    <w:lsdException w:name="Document Map" w:uiPriority="0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 w:qFormat="1"/>
    <w:lsdException w:name="Table Grid" w:semiHidden="0" w:uiPriority="0" w:qFormat="1"/>
    <w:lsdException w:name="Table Theme" w:unhideWhenUsed="1"/>
    <w:lsdException w:name="Placeholder Text" w:unhideWhenUsed="1"/>
    <w:lsdException w:name="No Spacing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unhideWhenUsed="1"/>
    <w:lsdException w:name="Quote" w:unhideWhenUsed="1"/>
    <w:lsdException w:name="Intense Quote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ff">
    <w:name w:val="Normal"/>
    <w:qFormat/>
    <w:rsid w:val="004F4D85"/>
    <w:pPr>
      <w:widowControl w:val="0"/>
      <w:jc w:val="both"/>
    </w:pPr>
    <w:rPr>
      <w:kern w:val="2"/>
      <w:sz w:val="21"/>
      <w:szCs w:val="24"/>
    </w:rPr>
  </w:style>
  <w:style w:type="character" w:default="1" w:styleId="aff0">
    <w:name w:val="Default Paragraph Font"/>
    <w:uiPriority w:val="1"/>
    <w:semiHidden/>
    <w:unhideWhenUsed/>
  </w:style>
  <w:style w:type="table" w:default="1" w:styleId="aff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2">
    <w:name w:val="No List"/>
    <w:uiPriority w:val="99"/>
    <w:semiHidden/>
    <w:unhideWhenUsed/>
  </w:style>
  <w:style w:type="paragraph" w:styleId="7">
    <w:name w:val="toc 7"/>
    <w:basedOn w:val="aff"/>
    <w:next w:val="aff"/>
    <w:semiHidden/>
    <w:qFormat/>
    <w:rsid w:val="004F4D85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"/>
    <w:next w:val="aff"/>
    <w:qFormat/>
    <w:rsid w:val="004F4D85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3">
    <w:name w:val="caption"/>
    <w:basedOn w:val="aff"/>
    <w:next w:val="aff"/>
    <w:qFormat/>
    <w:rsid w:val="004F4D85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"/>
    <w:next w:val="aff"/>
    <w:qFormat/>
    <w:rsid w:val="004F4D85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4">
    <w:name w:val="Document Map"/>
    <w:basedOn w:val="aff"/>
    <w:link w:val="Char"/>
    <w:semiHidden/>
    <w:rsid w:val="004F4D85"/>
    <w:pPr>
      <w:shd w:val="clear" w:color="auto" w:fill="000080"/>
    </w:pPr>
  </w:style>
  <w:style w:type="paragraph" w:styleId="6">
    <w:name w:val="index 6"/>
    <w:basedOn w:val="aff"/>
    <w:next w:val="aff"/>
    <w:qFormat/>
    <w:rsid w:val="004F4D85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"/>
    <w:next w:val="aff"/>
    <w:rsid w:val="004F4D85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"/>
    <w:next w:val="aff"/>
    <w:semiHidden/>
    <w:rsid w:val="004F4D85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"/>
    <w:next w:val="aff"/>
    <w:semiHidden/>
    <w:qFormat/>
    <w:rsid w:val="004F4D85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80">
    <w:name w:val="toc 8"/>
    <w:basedOn w:val="aff"/>
    <w:next w:val="aff"/>
    <w:semiHidden/>
    <w:qFormat/>
    <w:rsid w:val="004F4D85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"/>
    <w:next w:val="aff"/>
    <w:qFormat/>
    <w:rsid w:val="004F4D85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5">
    <w:name w:val="endnote text"/>
    <w:basedOn w:val="aff"/>
    <w:link w:val="Char0"/>
    <w:semiHidden/>
    <w:qFormat/>
    <w:rsid w:val="004F4D85"/>
    <w:pPr>
      <w:snapToGrid w:val="0"/>
      <w:jc w:val="left"/>
    </w:pPr>
  </w:style>
  <w:style w:type="paragraph" w:styleId="aff6">
    <w:name w:val="Balloon Text"/>
    <w:basedOn w:val="aff"/>
    <w:link w:val="Char1"/>
    <w:uiPriority w:val="99"/>
    <w:semiHidden/>
    <w:unhideWhenUsed/>
    <w:qFormat/>
    <w:rsid w:val="004F4D85"/>
    <w:rPr>
      <w:sz w:val="18"/>
      <w:szCs w:val="18"/>
    </w:rPr>
  </w:style>
  <w:style w:type="paragraph" w:styleId="aff7">
    <w:name w:val="footer"/>
    <w:basedOn w:val="aff"/>
    <w:link w:val="Char2"/>
    <w:qFormat/>
    <w:rsid w:val="004F4D85"/>
    <w:pPr>
      <w:snapToGrid w:val="0"/>
      <w:ind w:rightChars="100" w:right="210"/>
      <w:jc w:val="right"/>
    </w:pPr>
    <w:rPr>
      <w:sz w:val="18"/>
      <w:szCs w:val="18"/>
    </w:rPr>
  </w:style>
  <w:style w:type="paragraph" w:styleId="aff8">
    <w:name w:val="header"/>
    <w:basedOn w:val="aff"/>
    <w:link w:val="Char3"/>
    <w:rsid w:val="004F4D85"/>
    <w:pPr>
      <w:snapToGrid w:val="0"/>
      <w:jc w:val="left"/>
    </w:pPr>
    <w:rPr>
      <w:sz w:val="18"/>
      <w:szCs w:val="18"/>
    </w:rPr>
  </w:style>
  <w:style w:type="paragraph" w:styleId="1">
    <w:name w:val="toc 1"/>
    <w:basedOn w:val="aff"/>
    <w:next w:val="aff"/>
    <w:semiHidden/>
    <w:qFormat/>
    <w:rsid w:val="004F4D85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f"/>
    <w:next w:val="aff"/>
    <w:semiHidden/>
    <w:qFormat/>
    <w:rsid w:val="004F4D85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9">
    <w:name w:val="index heading"/>
    <w:basedOn w:val="aff"/>
    <w:next w:val="10"/>
    <w:qFormat/>
    <w:rsid w:val="004F4D85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0">
    <w:name w:val="index 1"/>
    <w:basedOn w:val="aff"/>
    <w:next w:val="aff"/>
    <w:unhideWhenUsed/>
    <w:qFormat/>
    <w:rsid w:val="004F4D85"/>
  </w:style>
  <w:style w:type="paragraph" w:styleId="af">
    <w:name w:val="footnote text"/>
    <w:basedOn w:val="aff"/>
    <w:link w:val="Char4"/>
    <w:qFormat/>
    <w:rsid w:val="004F4D85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"/>
    <w:next w:val="aff"/>
    <w:semiHidden/>
    <w:rsid w:val="004F4D85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f"/>
    <w:next w:val="aff"/>
    <w:qFormat/>
    <w:rsid w:val="004F4D85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"/>
    <w:next w:val="aff"/>
    <w:rsid w:val="004F4D85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"/>
    <w:next w:val="aff"/>
    <w:semiHidden/>
    <w:qFormat/>
    <w:rsid w:val="004F4D85"/>
    <w:pPr>
      <w:tabs>
        <w:tab w:val="right" w:leader="dot" w:pos="9241"/>
      </w:tabs>
    </w:pPr>
    <w:rPr>
      <w:rFonts w:ascii="宋体"/>
      <w:szCs w:val="21"/>
    </w:rPr>
  </w:style>
  <w:style w:type="paragraph" w:styleId="90">
    <w:name w:val="toc 9"/>
    <w:basedOn w:val="aff"/>
    <w:next w:val="aff"/>
    <w:semiHidden/>
    <w:qFormat/>
    <w:rsid w:val="004F4D85"/>
    <w:pPr>
      <w:ind w:left="1470"/>
      <w:jc w:val="left"/>
    </w:pPr>
    <w:rPr>
      <w:sz w:val="20"/>
      <w:szCs w:val="20"/>
    </w:rPr>
  </w:style>
  <w:style w:type="paragraph" w:styleId="20">
    <w:name w:val="index 2"/>
    <w:basedOn w:val="aff"/>
    <w:next w:val="aff"/>
    <w:qFormat/>
    <w:rsid w:val="004F4D85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affa">
    <w:name w:val="Table Grid"/>
    <w:basedOn w:val="aff1"/>
    <w:qFormat/>
    <w:rsid w:val="004F4D85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b">
    <w:name w:val="endnote reference"/>
    <w:semiHidden/>
    <w:rsid w:val="004F4D85"/>
    <w:rPr>
      <w:vertAlign w:val="superscript"/>
    </w:rPr>
  </w:style>
  <w:style w:type="character" w:styleId="affc">
    <w:name w:val="page number"/>
    <w:rsid w:val="004F4D85"/>
    <w:rPr>
      <w:rFonts w:ascii="Times New Roman" w:eastAsia="宋体" w:hAnsi="Times New Roman"/>
      <w:sz w:val="18"/>
    </w:rPr>
  </w:style>
  <w:style w:type="character" w:styleId="affd">
    <w:name w:val="FollowedHyperlink"/>
    <w:basedOn w:val="aff0"/>
    <w:uiPriority w:val="99"/>
    <w:semiHidden/>
    <w:unhideWhenUsed/>
    <w:qFormat/>
    <w:rsid w:val="004F4D85"/>
    <w:rPr>
      <w:color w:val="800080" w:themeColor="followedHyperlink"/>
      <w:u w:val="single"/>
    </w:rPr>
  </w:style>
  <w:style w:type="character" w:styleId="affe">
    <w:name w:val="Hyperlink"/>
    <w:rsid w:val="004F4D85"/>
    <w:rPr>
      <w:color w:val="0000FF"/>
      <w:spacing w:val="0"/>
      <w:w w:val="100"/>
      <w:szCs w:val="21"/>
      <w:u w:val="single"/>
      <w:lang w:val="en-US" w:eastAsia="zh-CN"/>
    </w:rPr>
  </w:style>
  <w:style w:type="character" w:styleId="afff">
    <w:name w:val="footnote reference"/>
    <w:semiHidden/>
    <w:rsid w:val="004F4D85"/>
    <w:rPr>
      <w:vertAlign w:val="superscript"/>
    </w:rPr>
  </w:style>
  <w:style w:type="character" w:customStyle="1" w:styleId="Char5">
    <w:name w:val="首示例 Char"/>
    <w:link w:val="a0"/>
    <w:rsid w:val="004F4D85"/>
    <w:rPr>
      <w:rFonts w:ascii="宋体" w:hAnsi="宋体"/>
      <w:sz w:val="18"/>
      <w:szCs w:val="18"/>
    </w:rPr>
  </w:style>
  <w:style w:type="paragraph" w:customStyle="1" w:styleId="a0">
    <w:name w:val="首示例"/>
    <w:next w:val="afff0"/>
    <w:link w:val="Char5"/>
    <w:qFormat/>
    <w:rsid w:val="004F4D85"/>
    <w:pPr>
      <w:numPr>
        <w:numId w:val="2"/>
      </w:numPr>
      <w:tabs>
        <w:tab w:val="left" w:pos="360"/>
      </w:tabs>
      <w:ind w:firstLine="0"/>
    </w:pPr>
    <w:rPr>
      <w:rFonts w:ascii="宋体" w:eastAsiaTheme="minorEastAsia" w:hAnsi="宋体" w:cstheme="minorBidi"/>
      <w:kern w:val="2"/>
      <w:sz w:val="18"/>
      <w:szCs w:val="18"/>
    </w:rPr>
  </w:style>
  <w:style w:type="paragraph" w:customStyle="1" w:styleId="afff0">
    <w:name w:val="段"/>
    <w:link w:val="Char6"/>
    <w:qFormat/>
    <w:rsid w:val="004F4D8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paragraph" w:customStyle="1" w:styleId="Style4">
    <w:name w:val="_Style 4"/>
    <w:rsid w:val="004F4D85"/>
    <w:pPr>
      <w:widowControl w:val="0"/>
      <w:jc w:val="both"/>
    </w:pPr>
    <w:rPr>
      <w:kern w:val="2"/>
      <w:sz w:val="21"/>
      <w:szCs w:val="24"/>
    </w:rPr>
  </w:style>
  <w:style w:type="character" w:customStyle="1" w:styleId="afff1">
    <w:name w:val="发布"/>
    <w:qFormat/>
    <w:rsid w:val="004F4D85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Char7">
    <w:name w:val="附录公式 Char"/>
    <w:basedOn w:val="Char6"/>
    <w:link w:val="afff2"/>
    <w:qFormat/>
    <w:rsid w:val="004F4D85"/>
    <w:rPr>
      <w:rFonts w:ascii="宋体"/>
    </w:rPr>
  </w:style>
  <w:style w:type="character" w:customStyle="1" w:styleId="Char6">
    <w:name w:val="段 Char"/>
    <w:link w:val="afff0"/>
    <w:rsid w:val="004F4D85"/>
    <w:rPr>
      <w:rFonts w:ascii="宋体"/>
    </w:rPr>
  </w:style>
  <w:style w:type="paragraph" w:customStyle="1" w:styleId="afff2">
    <w:name w:val="附录公式"/>
    <w:basedOn w:val="afff0"/>
    <w:next w:val="afff0"/>
    <w:link w:val="Char7"/>
    <w:qFormat/>
    <w:rsid w:val="004F4D85"/>
  </w:style>
  <w:style w:type="paragraph" w:customStyle="1" w:styleId="afff3">
    <w:name w:val="图标脚注说明"/>
    <w:basedOn w:val="afff0"/>
    <w:qFormat/>
    <w:rsid w:val="004F4D85"/>
    <w:pPr>
      <w:ind w:left="840" w:firstLineChars="0" w:hanging="420"/>
    </w:pPr>
    <w:rPr>
      <w:sz w:val="18"/>
      <w:szCs w:val="18"/>
    </w:rPr>
  </w:style>
  <w:style w:type="paragraph" w:customStyle="1" w:styleId="21">
    <w:name w:val="封面标准名称2"/>
    <w:basedOn w:val="afff4"/>
    <w:rsid w:val="004F4D85"/>
    <w:pPr>
      <w:framePr w:wrap="around" w:y="4469"/>
      <w:spacing w:beforeLines="630"/>
    </w:pPr>
  </w:style>
  <w:style w:type="paragraph" w:customStyle="1" w:styleId="afff4">
    <w:name w:val="封面标准名称"/>
    <w:qFormat/>
    <w:rsid w:val="004F4D85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character" w:customStyle="1" w:styleId="Char">
    <w:name w:val="文档结构图 Char"/>
    <w:basedOn w:val="aff0"/>
    <w:link w:val="aff4"/>
    <w:semiHidden/>
    <w:rsid w:val="004F4D85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afff5">
    <w:name w:val="附录四级无"/>
    <w:basedOn w:val="afff6"/>
    <w:rsid w:val="004F4D85"/>
    <w:pPr>
      <w:spacing w:beforeLines="0" w:afterLines="0"/>
    </w:pPr>
    <w:rPr>
      <w:rFonts w:ascii="宋体" w:eastAsia="宋体"/>
      <w:szCs w:val="21"/>
    </w:rPr>
  </w:style>
  <w:style w:type="paragraph" w:customStyle="1" w:styleId="afff6">
    <w:name w:val="附录四级条标题"/>
    <w:basedOn w:val="afb"/>
    <w:next w:val="afff0"/>
    <w:qFormat/>
    <w:rsid w:val="004F4D85"/>
    <w:pPr>
      <w:numPr>
        <w:ilvl w:val="0"/>
        <w:numId w:val="0"/>
      </w:numPr>
      <w:outlineLvl w:val="5"/>
    </w:pPr>
  </w:style>
  <w:style w:type="paragraph" w:customStyle="1" w:styleId="afb">
    <w:name w:val="附录三级条标题"/>
    <w:basedOn w:val="afa"/>
    <w:next w:val="afff0"/>
    <w:qFormat/>
    <w:rsid w:val="004F4D85"/>
    <w:pPr>
      <w:numPr>
        <w:ilvl w:val="4"/>
      </w:numPr>
      <w:outlineLvl w:val="4"/>
    </w:pPr>
  </w:style>
  <w:style w:type="paragraph" w:customStyle="1" w:styleId="afa">
    <w:name w:val="附录二级条标题"/>
    <w:basedOn w:val="aff"/>
    <w:next w:val="afff0"/>
    <w:qFormat/>
    <w:rsid w:val="004F4D85"/>
    <w:pPr>
      <w:widowControl/>
      <w:numPr>
        <w:ilvl w:val="3"/>
        <w:numId w:val="3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character" w:customStyle="1" w:styleId="Char3">
    <w:name w:val="页眉 Char"/>
    <w:basedOn w:val="aff0"/>
    <w:link w:val="aff8"/>
    <w:rsid w:val="004F4D85"/>
    <w:rPr>
      <w:rFonts w:ascii="Times New Roman" w:eastAsia="宋体" w:hAnsi="Times New Roman" w:cs="Times New Roman"/>
      <w:sz w:val="18"/>
      <w:szCs w:val="18"/>
    </w:rPr>
  </w:style>
  <w:style w:type="paragraph" w:customStyle="1" w:styleId="afff7">
    <w:name w:val="其他实施日期"/>
    <w:basedOn w:val="afff8"/>
    <w:qFormat/>
    <w:rsid w:val="004F4D85"/>
    <w:pPr>
      <w:framePr w:wrap="around"/>
    </w:pPr>
  </w:style>
  <w:style w:type="paragraph" w:customStyle="1" w:styleId="afff8">
    <w:name w:val="实施日期"/>
    <w:basedOn w:val="afff9"/>
    <w:qFormat/>
    <w:rsid w:val="004F4D85"/>
    <w:pPr>
      <w:framePr w:wrap="around" w:vAnchor="page" w:hAnchor="text"/>
      <w:jc w:val="right"/>
    </w:pPr>
  </w:style>
  <w:style w:type="paragraph" w:customStyle="1" w:styleId="afff9">
    <w:name w:val="发布日期"/>
    <w:qFormat/>
    <w:rsid w:val="004F4D85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a">
    <w:name w:val="前言、引言标题"/>
    <w:next w:val="afff0"/>
    <w:qFormat/>
    <w:rsid w:val="004F4D85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character" w:customStyle="1" w:styleId="Char2">
    <w:name w:val="页脚 Char"/>
    <w:basedOn w:val="aff0"/>
    <w:link w:val="aff7"/>
    <w:qFormat/>
    <w:rsid w:val="004F4D85"/>
    <w:rPr>
      <w:rFonts w:ascii="Times New Roman" w:eastAsia="宋体" w:hAnsi="Times New Roman" w:cs="Times New Roman"/>
      <w:sz w:val="18"/>
      <w:szCs w:val="18"/>
    </w:rPr>
  </w:style>
  <w:style w:type="paragraph" w:customStyle="1" w:styleId="a2">
    <w:name w:val="图表脚注说明"/>
    <w:basedOn w:val="aff"/>
    <w:qFormat/>
    <w:rsid w:val="004F4D85"/>
    <w:pPr>
      <w:numPr>
        <w:numId w:val="4"/>
      </w:numPr>
    </w:pPr>
    <w:rPr>
      <w:rFonts w:ascii="宋体"/>
      <w:sz w:val="18"/>
      <w:szCs w:val="18"/>
    </w:rPr>
  </w:style>
  <w:style w:type="paragraph" w:customStyle="1" w:styleId="afffb">
    <w:name w:val="封面标准文稿类别"/>
    <w:basedOn w:val="afffc"/>
    <w:qFormat/>
    <w:rsid w:val="004F4D85"/>
    <w:pPr>
      <w:framePr w:wrap="around"/>
      <w:spacing w:after="160" w:line="240" w:lineRule="auto"/>
    </w:pPr>
    <w:rPr>
      <w:sz w:val="24"/>
    </w:rPr>
  </w:style>
  <w:style w:type="paragraph" w:customStyle="1" w:styleId="afffc">
    <w:name w:val="封面一致性程度标识"/>
    <w:basedOn w:val="afffd"/>
    <w:qFormat/>
    <w:rsid w:val="004F4D85"/>
    <w:pPr>
      <w:framePr w:wrap="around"/>
      <w:spacing w:before="440"/>
    </w:pPr>
    <w:rPr>
      <w:rFonts w:ascii="宋体" w:eastAsia="宋体"/>
    </w:rPr>
  </w:style>
  <w:style w:type="paragraph" w:customStyle="1" w:styleId="afffd">
    <w:name w:val="封面标准英文名称"/>
    <w:basedOn w:val="afff4"/>
    <w:qFormat/>
    <w:rsid w:val="004F4D85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character" w:customStyle="1" w:styleId="Char0">
    <w:name w:val="尾注文本 Char"/>
    <w:basedOn w:val="aff0"/>
    <w:link w:val="aff5"/>
    <w:semiHidden/>
    <w:qFormat/>
    <w:rsid w:val="004F4D85"/>
    <w:rPr>
      <w:rFonts w:ascii="Times New Roman" w:eastAsia="宋体" w:hAnsi="Times New Roman" w:cs="Times New Roman"/>
      <w:szCs w:val="24"/>
    </w:rPr>
  </w:style>
  <w:style w:type="paragraph" w:customStyle="1" w:styleId="afd">
    <w:name w:val="附录数字编号列项（二级）"/>
    <w:qFormat/>
    <w:rsid w:val="004F4D85"/>
    <w:pPr>
      <w:numPr>
        <w:ilvl w:val="1"/>
        <w:numId w:val="5"/>
      </w:numPr>
    </w:pPr>
    <w:rPr>
      <w:rFonts w:ascii="宋体"/>
      <w:sz w:val="21"/>
    </w:rPr>
  </w:style>
  <w:style w:type="paragraph" w:customStyle="1" w:styleId="22">
    <w:name w:val="封面标准英文名称2"/>
    <w:basedOn w:val="afffd"/>
    <w:qFormat/>
    <w:rsid w:val="004F4D85"/>
    <w:pPr>
      <w:framePr w:wrap="around" w:y="4469"/>
    </w:pPr>
  </w:style>
  <w:style w:type="character" w:customStyle="1" w:styleId="Char4">
    <w:name w:val="脚注文本 Char"/>
    <w:basedOn w:val="aff0"/>
    <w:link w:val="af"/>
    <w:qFormat/>
    <w:rsid w:val="004F4D85"/>
    <w:rPr>
      <w:rFonts w:ascii="宋体" w:eastAsia="宋体" w:hAnsi="Times New Roman" w:cs="Times New Roman"/>
      <w:sz w:val="18"/>
      <w:szCs w:val="18"/>
    </w:rPr>
  </w:style>
  <w:style w:type="paragraph" w:customStyle="1" w:styleId="a9">
    <w:name w:val="五级条标题"/>
    <w:basedOn w:val="a8"/>
    <w:next w:val="afff0"/>
    <w:rsid w:val="004F4D85"/>
    <w:pPr>
      <w:numPr>
        <w:ilvl w:val="5"/>
      </w:numPr>
      <w:outlineLvl w:val="6"/>
    </w:pPr>
  </w:style>
  <w:style w:type="paragraph" w:customStyle="1" w:styleId="a8">
    <w:name w:val="四级条标题"/>
    <w:basedOn w:val="a7"/>
    <w:next w:val="afff0"/>
    <w:qFormat/>
    <w:rsid w:val="004F4D85"/>
    <w:pPr>
      <w:numPr>
        <w:ilvl w:val="4"/>
      </w:numPr>
      <w:outlineLvl w:val="5"/>
    </w:pPr>
  </w:style>
  <w:style w:type="paragraph" w:customStyle="1" w:styleId="a7">
    <w:name w:val="三级条标题"/>
    <w:basedOn w:val="a6"/>
    <w:next w:val="afff0"/>
    <w:qFormat/>
    <w:rsid w:val="004F4D85"/>
    <w:pPr>
      <w:numPr>
        <w:ilvl w:val="3"/>
      </w:numPr>
      <w:ind w:left="0"/>
      <w:outlineLvl w:val="4"/>
    </w:pPr>
  </w:style>
  <w:style w:type="paragraph" w:customStyle="1" w:styleId="a6">
    <w:name w:val="二级条标题"/>
    <w:basedOn w:val="a5"/>
    <w:next w:val="afff0"/>
    <w:qFormat/>
    <w:rsid w:val="004F4D85"/>
    <w:pPr>
      <w:numPr>
        <w:ilvl w:val="2"/>
      </w:numPr>
      <w:spacing w:before="50" w:after="50"/>
      <w:outlineLvl w:val="3"/>
    </w:pPr>
  </w:style>
  <w:style w:type="paragraph" w:customStyle="1" w:styleId="a5">
    <w:name w:val="一级条标题"/>
    <w:next w:val="afff0"/>
    <w:qFormat/>
    <w:rsid w:val="004F4D85"/>
    <w:pPr>
      <w:numPr>
        <w:ilvl w:val="1"/>
        <w:numId w:val="6"/>
      </w:numPr>
      <w:spacing w:beforeLines="50" w:afterLines="50"/>
      <w:ind w:left="709"/>
      <w:outlineLvl w:val="2"/>
    </w:pPr>
    <w:rPr>
      <w:rFonts w:ascii="黑体" w:eastAsia="黑体"/>
      <w:sz w:val="21"/>
      <w:szCs w:val="21"/>
    </w:rPr>
  </w:style>
  <w:style w:type="paragraph" w:customStyle="1" w:styleId="afe">
    <w:name w:val="注："/>
    <w:next w:val="afff0"/>
    <w:qFormat/>
    <w:rsid w:val="004F4D85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ffe">
    <w:name w:val="正文公式编号制表符"/>
    <w:basedOn w:val="afff0"/>
    <w:next w:val="afff0"/>
    <w:qFormat/>
    <w:rsid w:val="004F4D85"/>
    <w:pPr>
      <w:ind w:firstLineChars="0" w:firstLine="0"/>
    </w:pPr>
  </w:style>
  <w:style w:type="paragraph" w:customStyle="1" w:styleId="affff">
    <w:name w:val="条文脚注"/>
    <w:basedOn w:val="af"/>
    <w:qFormat/>
    <w:rsid w:val="004F4D85"/>
    <w:pPr>
      <w:numPr>
        <w:numId w:val="0"/>
      </w:numPr>
      <w:jc w:val="both"/>
    </w:pPr>
  </w:style>
  <w:style w:type="paragraph" w:customStyle="1" w:styleId="af9">
    <w:name w:val="附录章标题"/>
    <w:next w:val="afff0"/>
    <w:qFormat/>
    <w:rsid w:val="004F4D85"/>
    <w:pPr>
      <w:numPr>
        <w:ilvl w:val="1"/>
        <w:numId w:val="3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0">
    <w:name w:val="附录一级无"/>
    <w:basedOn w:val="affff1"/>
    <w:qFormat/>
    <w:rsid w:val="004F4D85"/>
    <w:pPr>
      <w:spacing w:beforeLines="0" w:afterLines="0"/>
    </w:pPr>
    <w:rPr>
      <w:rFonts w:ascii="宋体" w:eastAsia="宋体"/>
      <w:szCs w:val="21"/>
    </w:rPr>
  </w:style>
  <w:style w:type="paragraph" w:customStyle="1" w:styleId="affff1">
    <w:name w:val="附录一级条标题"/>
    <w:basedOn w:val="af9"/>
    <w:next w:val="afff0"/>
    <w:qFormat/>
    <w:rsid w:val="004F4D85"/>
    <w:pPr>
      <w:numPr>
        <w:ilvl w:val="0"/>
        <w:numId w:val="0"/>
      </w:numPr>
      <w:autoSpaceDN w:val="0"/>
      <w:spacing w:beforeLines="50" w:afterLines="50"/>
      <w:outlineLvl w:val="2"/>
    </w:pPr>
  </w:style>
  <w:style w:type="paragraph" w:customStyle="1" w:styleId="affff2">
    <w:name w:val="列项说明"/>
    <w:basedOn w:val="aff"/>
    <w:qFormat/>
    <w:rsid w:val="004F4D85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3">
    <w:name w:val="示例内容"/>
    <w:qFormat/>
    <w:rsid w:val="004F4D85"/>
    <w:pPr>
      <w:ind w:firstLineChars="200" w:firstLine="200"/>
    </w:pPr>
    <w:rPr>
      <w:rFonts w:ascii="宋体"/>
      <w:sz w:val="18"/>
      <w:szCs w:val="18"/>
    </w:rPr>
  </w:style>
  <w:style w:type="paragraph" w:customStyle="1" w:styleId="aa">
    <w:name w:val="附录图标号"/>
    <w:basedOn w:val="aff"/>
    <w:qFormat/>
    <w:rsid w:val="004F4D85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0">
    <w:name w:val="字母编号列项（一级）"/>
    <w:qFormat/>
    <w:rsid w:val="004F4D85"/>
    <w:pPr>
      <w:numPr>
        <w:numId w:val="9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rsid w:val="004F4D85"/>
    <w:pPr>
      <w:numPr>
        <w:ilvl w:val="1"/>
        <w:numId w:val="10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1">
    <w:name w:val="示例"/>
    <w:next w:val="affff3"/>
    <w:qFormat/>
    <w:rsid w:val="004F4D85"/>
    <w:pPr>
      <w:widowControl w:val="0"/>
      <w:numPr>
        <w:numId w:val="11"/>
      </w:numPr>
      <w:jc w:val="both"/>
    </w:pPr>
    <w:rPr>
      <w:rFonts w:ascii="宋体"/>
      <w:sz w:val="18"/>
      <w:szCs w:val="18"/>
    </w:rPr>
  </w:style>
  <w:style w:type="paragraph" w:customStyle="1" w:styleId="af3">
    <w:name w:val="示例×："/>
    <w:basedOn w:val="a4"/>
    <w:qFormat/>
    <w:rsid w:val="004F4D85"/>
    <w:pPr>
      <w:numPr>
        <w:numId w:val="12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4">
    <w:name w:val="章标题"/>
    <w:next w:val="afff0"/>
    <w:qFormat/>
    <w:rsid w:val="004F4D85"/>
    <w:pPr>
      <w:numPr>
        <w:numId w:val="6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7">
    <w:name w:val="正文表标题"/>
    <w:next w:val="afff0"/>
    <w:qFormat/>
    <w:rsid w:val="004F4D85"/>
    <w:pPr>
      <w:numPr>
        <w:numId w:val="13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4">
    <w:name w:val="封面标准文稿编辑信息"/>
    <w:basedOn w:val="afffb"/>
    <w:qFormat/>
    <w:rsid w:val="004F4D85"/>
    <w:pPr>
      <w:framePr w:wrap="around"/>
      <w:spacing w:before="180" w:line="180" w:lineRule="exact"/>
    </w:pPr>
    <w:rPr>
      <w:sz w:val="21"/>
    </w:rPr>
  </w:style>
  <w:style w:type="paragraph" w:customStyle="1" w:styleId="affff5">
    <w:name w:val="标准书眉一"/>
    <w:qFormat/>
    <w:rsid w:val="004F4D85"/>
    <w:pPr>
      <w:jc w:val="both"/>
    </w:pPr>
  </w:style>
  <w:style w:type="paragraph" w:customStyle="1" w:styleId="affff6">
    <w:name w:val="标准书脚_偶数页"/>
    <w:qFormat/>
    <w:rsid w:val="004F4D85"/>
    <w:pPr>
      <w:spacing w:before="120"/>
      <w:ind w:left="221"/>
    </w:pPr>
    <w:rPr>
      <w:rFonts w:ascii="宋体"/>
      <w:sz w:val="18"/>
      <w:szCs w:val="18"/>
    </w:rPr>
  </w:style>
  <w:style w:type="paragraph" w:customStyle="1" w:styleId="23">
    <w:name w:val="封面标准号2"/>
    <w:qFormat/>
    <w:rsid w:val="004F4D85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ffff7">
    <w:name w:val="标准称谓"/>
    <w:next w:val="aff"/>
    <w:qFormat/>
    <w:rsid w:val="004F4D85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8">
    <w:name w:val="目次、索引正文"/>
    <w:qFormat/>
    <w:rsid w:val="004F4D85"/>
    <w:pPr>
      <w:spacing w:line="320" w:lineRule="exact"/>
      <w:jc w:val="both"/>
    </w:pPr>
    <w:rPr>
      <w:rFonts w:ascii="宋体"/>
      <w:sz w:val="21"/>
    </w:rPr>
  </w:style>
  <w:style w:type="paragraph" w:customStyle="1" w:styleId="affff9">
    <w:name w:val="附录五级无"/>
    <w:basedOn w:val="affffa"/>
    <w:qFormat/>
    <w:rsid w:val="004F4D85"/>
    <w:pPr>
      <w:spacing w:beforeLines="0" w:afterLines="0"/>
    </w:pPr>
    <w:rPr>
      <w:rFonts w:ascii="宋体" w:eastAsia="宋体"/>
      <w:szCs w:val="21"/>
    </w:rPr>
  </w:style>
  <w:style w:type="paragraph" w:customStyle="1" w:styleId="affffa">
    <w:name w:val="附录五级条标题"/>
    <w:basedOn w:val="afff6"/>
    <w:next w:val="afff0"/>
    <w:qFormat/>
    <w:rsid w:val="004F4D85"/>
    <w:pPr>
      <w:numPr>
        <w:ilvl w:val="6"/>
      </w:numPr>
      <w:outlineLvl w:val="6"/>
    </w:pPr>
  </w:style>
  <w:style w:type="paragraph" w:customStyle="1" w:styleId="af4">
    <w:name w:val="正文图标题"/>
    <w:next w:val="afff0"/>
    <w:qFormat/>
    <w:rsid w:val="004F4D85"/>
    <w:pPr>
      <w:numPr>
        <w:numId w:val="14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6">
    <w:name w:val="附录表标题"/>
    <w:basedOn w:val="aff"/>
    <w:next w:val="afff0"/>
    <w:qFormat/>
    <w:rsid w:val="004F4D85"/>
    <w:pPr>
      <w:numPr>
        <w:ilvl w:val="1"/>
        <w:numId w:val="15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2">
    <w:name w:val="编号列项（三级）"/>
    <w:qFormat/>
    <w:rsid w:val="004F4D85"/>
    <w:pPr>
      <w:numPr>
        <w:ilvl w:val="2"/>
        <w:numId w:val="9"/>
      </w:numPr>
    </w:pPr>
    <w:rPr>
      <w:rFonts w:ascii="宋体"/>
      <w:sz w:val="21"/>
    </w:rPr>
  </w:style>
  <w:style w:type="paragraph" w:customStyle="1" w:styleId="affffb">
    <w:name w:val="标准书眉_奇数页"/>
    <w:next w:val="aff"/>
    <w:qFormat/>
    <w:rsid w:val="004F4D85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24">
    <w:name w:val="封面一致性程度标识2"/>
    <w:basedOn w:val="afffc"/>
    <w:qFormat/>
    <w:rsid w:val="004F4D85"/>
    <w:pPr>
      <w:framePr w:wrap="around" w:y="4469"/>
    </w:pPr>
  </w:style>
  <w:style w:type="paragraph" w:customStyle="1" w:styleId="a">
    <w:name w:val="注×："/>
    <w:qFormat/>
    <w:rsid w:val="004F4D85"/>
    <w:pPr>
      <w:widowControl w:val="0"/>
      <w:numPr>
        <w:numId w:val="1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8">
    <w:name w:val="附录标识"/>
    <w:basedOn w:val="aff"/>
    <w:next w:val="afff0"/>
    <w:qFormat/>
    <w:rsid w:val="004F4D85"/>
    <w:pPr>
      <w:keepNext/>
      <w:widowControl/>
      <w:numPr>
        <w:numId w:val="3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1">
    <w:name w:val="封面标准号1"/>
    <w:qFormat/>
    <w:rsid w:val="004F4D85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e">
    <w:name w:val="列项◆（三级）"/>
    <w:basedOn w:val="aff"/>
    <w:qFormat/>
    <w:rsid w:val="004F4D85"/>
    <w:pPr>
      <w:numPr>
        <w:ilvl w:val="2"/>
        <w:numId w:val="10"/>
      </w:numPr>
    </w:pPr>
    <w:rPr>
      <w:rFonts w:ascii="宋体"/>
      <w:szCs w:val="21"/>
    </w:rPr>
  </w:style>
  <w:style w:type="paragraph" w:customStyle="1" w:styleId="affffc">
    <w:name w:val="注：（正文）"/>
    <w:basedOn w:val="afe"/>
    <w:next w:val="afff0"/>
    <w:qFormat/>
    <w:rsid w:val="004F4D85"/>
  </w:style>
  <w:style w:type="paragraph" w:customStyle="1" w:styleId="affffd">
    <w:name w:val="一级无"/>
    <w:basedOn w:val="a5"/>
    <w:qFormat/>
    <w:rsid w:val="004F4D85"/>
    <w:pPr>
      <w:spacing w:beforeLines="0" w:afterLines="0"/>
    </w:pPr>
    <w:rPr>
      <w:rFonts w:ascii="宋体" w:eastAsia="宋体"/>
    </w:rPr>
  </w:style>
  <w:style w:type="paragraph" w:customStyle="1" w:styleId="affffe">
    <w:name w:val="二级无"/>
    <w:basedOn w:val="a6"/>
    <w:qFormat/>
    <w:rsid w:val="004F4D85"/>
    <w:pPr>
      <w:spacing w:beforeLines="0" w:afterLines="0"/>
    </w:pPr>
    <w:rPr>
      <w:rFonts w:ascii="宋体" w:eastAsia="宋体"/>
    </w:rPr>
  </w:style>
  <w:style w:type="paragraph" w:customStyle="1" w:styleId="afffff">
    <w:name w:val="标准书眉_偶数页"/>
    <w:basedOn w:val="affffb"/>
    <w:next w:val="aff"/>
    <w:qFormat/>
    <w:rsid w:val="004F4D85"/>
    <w:pPr>
      <w:jc w:val="left"/>
    </w:pPr>
  </w:style>
  <w:style w:type="paragraph" w:customStyle="1" w:styleId="afffff0">
    <w:name w:val="附录三级无"/>
    <w:basedOn w:val="afb"/>
    <w:qFormat/>
    <w:rsid w:val="004F4D85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1">
    <w:name w:val="标准书脚_奇数页"/>
    <w:qFormat/>
    <w:rsid w:val="004F4D85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c">
    <w:name w:val="列项——（一级）"/>
    <w:qFormat/>
    <w:rsid w:val="004F4D85"/>
    <w:pPr>
      <w:widowControl w:val="0"/>
      <w:numPr>
        <w:numId w:val="10"/>
      </w:numPr>
      <w:jc w:val="both"/>
    </w:pPr>
    <w:rPr>
      <w:rFonts w:ascii="宋体"/>
      <w:sz w:val="21"/>
    </w:rPr>
  </w:style>
  <w:style w:type="paragraph" w:customStyle="1" w:styleId="afffff2">
    <w:name w:val="封面标准代替信息"/>
    <w:qFormat/>
    <w:rsid w:val="004F4D85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afffff3">
    <w:name w:val="目次、标准名称标题"/>
    <w:basedOn w:val="aff"/>
    <w:next w:val="afff0"/>
    <w:qFormat/>
    <w:rsid w:val="004F4D8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ff4">
    <w:name w:val="参考文献"/>
    <w:basedOn w:val="aff"/>
    <w:next w:val="afff0"/>
    <w:qFormat/>
    <w:rsid w:val="004F4D85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5">
    <w:name w:val="四级无"/>
    <w:basedOn w:val="a8"/>
    <w:qFormat/>
    <w:rsid w:val="004F4D85"/>
    <w:pPr>
      <w:spacing w:beforeLines="0" w:afterLines="0"/>
    </w:pPr>
    <w:rPr>
      <w:rFonts w:ascii="宋体" w:eastAsia="宋体"/>
    </w:rPr>
  </w:style>
  <w:style w:type="paragraph" w:customStyle="1" w:styleId="af1">
    <w:name w:val="数字编号列项（二级）"/>
    <w:qFormat/>
    <w:rsid w:val="004F4D85"/>
    <w:pPr>
      <w:numPr>
        <w:ilvl w:val="1"/>
        <w:numId w:val="9"/>
      </w:numPr>
      <w:jc w:val="both"/>
    </w:pPr>
    <w:rPr>
      <w:rFonts w:ascii="宋体"/>
      <w:sz w:val="21"/>
    </w:rPr>
  </w:style>
  <w:style w:type="paragraph" w:customStyle="1" w:styleId="afffff6">
    <w:name w:val="封面正文"/>
    <w:qFormat/>
    <w:rsid w:val="004F4D85"/>
    <w:pPr>
      <w:jc w:val="both"/>
    </w:pPr>
  </w:style>
  <w:style w:type="paragraph" w:customStyle="1" w:styleId="afffff7">
    <w:name w:val="参考文献、索引标题"/>
    <w:basedOn w:val="aff"/>
    <w:next w:val="afff0"/>
    <w:qFormat/>
    <w:rsid w:val="004F4D85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8">
    <w:name w:val="标准标志"/>
    <w:next w:val="aff"/>
    <w:qFormat/>
    <w:rsid w:val="004F4D85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f9">
    <w:name w:val="其他发布日期"/>
    <w:basedOn w:val="afff9"/>
    <w:qFormat/>
    <w:rsid w:val="004F4D85"/>
    <w:pPr>
      <w:framePr w:wrap="around" w:vAnchor="page" w:hAnchor="text" w:x="1419"/>
    </w:pPr>
  </w:style>
  <w:style w:type="paragraph" w:customStyle="1" w:styleId="a3">
    <w:name w:val="注×：（正文）"/>
    <w:qFormat/>
    <w:rsid w:val="004F4D85"/>
    <w:pPr>
      <w:numPr>
        <w:numId w:val="17"/>
      </w:numPr>
      <w:jc w:val="both"/>
    </w:pPr>
    <w:rPr>
      <w:rFonts w:ascii="宋体"/>
      <w:sz w:val="18"/>
      <w:szCs w:val="18"/>
    </w:rPr>
  </w:style>
  <w:style w:type="paragraph" w:customStyle="1" w:styleId="afffffa">
    <w:name w:val="发布部门"/>
    <w:next w:val="afff0"/>
    <w:qFormat/>
    <w:rsid w:val="004F4D85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fb">
    <w:name w:val="附录标题"/>
    <w:basedOn w:val="afff0"/>
    <w:next w:val="afff0"/>
    <w:qFormat/>
    <w:rsid w:val="004F4D85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"/>
    <w:next w:val="afff0"/>
    <w:qFormat/>
    <w:rsid w:val="004F4D85"/>
    <w:pPr>
      <w:numPr>
        <w:numId w:val="15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25">
    <w:name w:val="封面标准文稿类别2"/>
    <w:basedOn w:val="afffb"/>
    <w:qFormat/>
    <w:rsid w:val="004F4D85"/>
    <w:pPr>
      <w:framePr w:wrap="around" w:y="4469"/>
    </w:pPr>
  </w:style>
  <w:style w:type="paragraph" w:customStyle="1" w:styleId="afffffc">
    <w:name w:val="五级无"/>
    <w:basedOn w:val="a9"/>
    <w:qFormat/>
    <w:rsid w:val="004F4D85"/>
    <w:pPr>
      <w:spacing w:beforeLines="0" w:afterLines="0"/>
    </w:pPr>
    <w:rPr>
      <w:rFonts w:ascii="宋体" w:eastAsia="宋体"/>
    </w:rPr>
  </w:style>
  <w:style w:type="paragraph" w:customStyle="1" w:styleId="ab">
    <w:name w:val="附录图标题"/>
    <w:basedOn w:val="aff"/>
    <w:next w:val="afff0"/>
    <w:qFormat/>
    <w:rsid w:val="004F4D85"/>
    <w:pPr>
      <w:numPr>
        <w:ilvl w:val="1"/>
        <w:numId w:val="8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ffffd">
    <w:name w:val="附录公式编号制表符"/>
    <w:basedOn w:val="aff"/>
    <w:next w:val="afff0"/>
    <w:qFormat/>
    <w:rsid w:val="004F4D85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e">
    <w:name w:val="附录二级无"/>
    <w:basedOn w:val="afa"/>
    <w:qFormat/>
    <w:rsid w:val="004F4D85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26">
    <w:name w:val="封面标准文稿编辑信息2"/>
    <w:basedOn w:val="affff4"/>
    <w:qFormat/>
    <w:rsid w:val="004F4D85"/>
    <w:pPr>
      <w:framePr w:wrap="around" w:y="4469"/>
    </w:pPr>
  </w:style>
  <w:style w:type="paragraph" w:customStyle="1" w:styleId="affffff">
    <w:name w:val="列项说明数字编号"/>
    <w:qFormat/>
    <w:rsid w:val="004F4D85"/>
    <w:pPr>
      <w:ind w:leftChars="400" w:left="600" w:hangingChars="200" w:hanging="200"/>
    </w:pPr>
    <w:rPr>
      <w:rFonts w:ascii="宋体"/>
      <w:sz w:val="21"/>
    </w:rPr>
  </w:style>
  <w:style w:type="paragraph" w:customStyle="1" w:styleId="afc">
    <w:name w:val="附录字母编号列项（一级）"/>
    <w:qFormat/>
    <w:rsid w:val="004F4D85"/>
    <w:pPr>
      <w:numPr>
        <w:numId w:val="5"/>
      </w:numPr>
    </w:pPr>
    <w:rPr>
      <w:rFonts w:ascii="宋体"/>
      <w:sz w:val="21"/>
    </w:rPr>
  </w:style>
  <w:style w:type="paragraph" w:customStyle="1" w:styleId="affffff0">
    <w:name w:val="其他发布部门"/>
    <w:basedOn w:val="afffffa"/>
    <w:qFormat/>
    <w:rsid w:val="004F4D85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1">
    <w:name w:val="终结线"/>
    <w:basedOn w:val="aff"/>
    <w:qFormat/>
    <w:rsid w:val="004F4D85"/>
    <w:pPr>
      <w:framePr w:hSpace="181" w:vSpace="181" w:wrap="around" w:vAnchor="text" w:hAnchor="margin" w:xAlign="center" w:y="285"/>
    </w:pPr>
  </w:style>
  <w:style w:type="paragraph" w:customStyle="1" w:styleId="affffff2">
    <w:name w:val="其他标准标志"/>
    <w:basedOn w:val="afffff8"/>
    <w:qFormat/>
    <w:rsid w:val="004F4D85"/>
    <w:pPr>
      <w:framePr w:w="6101" w:wrap="around" w:vAnchor="page" w:hAnchor="page" w:x="4673" w:y="942"/>
    </w:pPr>
    <w:rPr>
      <w:w w:val="130"/>
    </w:rPr>
  </w:style>
  <w:style w:type="paragraph" w:customStyle="1" w:styleId="affffff3">
    <w:name w:val="其他标准称谓"/>
    <w:next w:val="aff"/>
    <w:qFormat/>
    <w:rsid w:val="004F4D85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f4">
    <w:name w:val="图的脚注"/>
    <w:next w:val="afff0"/>
    <w:qFormat/>
    <w:rsid w:val="004F4D85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5">
    <w:name w:val="三级无"/>
    <w:basedOn w:val="a7"/>
    <w:qFormat/>
    <w:rsid w:val="004F4D85"/>
    <w:pPr>
      <w:spacing w:beforeLines="0" w:afterLines="0"/>
    </w:pPr>
    <w:rPr>
      <w:rFonts w:ascii="宋体" w:eastAsia="宋体"/>
    </w:rPr>
  </w:style>
  <w:style w:type="paragraph" w:customStyle="1" w:styleId="affffff6">
    <w:name w:val="示例后文字"/>
    <w:basedOn w:val="afff0"/>
    <w:next w:val="afff0"/>
    <w:qFormat/>
    <w:rsid w:val="004F4D85"/>
    <w:pPr>
      <w:ind w:firstLine="360"/>
    </w:pPr>
    <w:rPr>
      <w:sz w:val="18"/>
    </w:rPr>
  </w:style>
  <w:style w:type="paragraph" w:customStyle="1" w:styleId="affffff7">
    <w:name w:val="文献分类号"/>
    <w:qFormat/>
    <w:rsid w:val="004F4D85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12">
    <w:name w:val="列出段落1"/>
    <w:basedOn w:val="aff"/>
    <w:uiPriority w:val="99"/>
    <w:qFormat/>
    <w:rsid w:val="004F4D85"/>
    <w:pPr>
      <w:spacing w:beforeLines="50" w:afterLines="50" w:line="360" w:lineRule="auto"/>
      <w:ind w:left="357" w:firstLineChars="200" w:firstLine="420"/>
    </w:pPr>
    <w:rPr>
      <w:szCs w:val="21"/>
    </w:rPr>
  </w:style>
  <w:style w:type="character" w:customStyle="1" w:styleId="Char1">
    <w:name w:val="批注框文本 Char"/>
    <w:basedOn w:val="aff0"/>
    <w:link w:val="aff6"/>
    <w:uiPriority w:val="99"/>
    <w:semiHidden/>
    <w:qFormat/>
    <w:rsid w:val="004F4D85"/>
    <w:rPr>
      <w:rFonts w:ascii="Times New Roman" w:eastAsia="宋体" w:hAnsi="Times New Roman" w:cs="Times New Roman"/>
      <w:sz w:val="18"/>
      <w:szCs w:val="18"/>
    </w:rPr>
  </w:style>
  <w:style w:type="character" w:customStyle="1" w:styleId="style7">
    <w:name w:val="style7"/>
    <w:basedOn w:val="aff0"/>
    <w:qFormat/>
    <w:rsid w:val="004F4D85"/>
  </w:style>
  <w:style w:type="paragraph" w:customStyle="1" w:styleId="13">
    <w:name w:val="修订1"/>
    <w:hidden/>
    <w:uiPriority w:val="99"/>
    <w:semiHidden/>
    <w:qFormat/>
    <w:rsid w:val="004F4D85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ike.baidu.com/item/%E5%BE%AE%E7%94%9F%E7%89%A9%E9%98%B2%E6%B2%BB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baike.baidu.com/item/%E5%9C%9F%E5%A3%A4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ike.baidu.com/item/%E6%95%B4%E5%9C%B0" TargetMode="External"/><Relationship Id="rId32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baike.baidu.com/item/%E8%9C%98%E8%9B%9B" TargetMode="External"/><Relationship Id="rId10" Type="http://schemas.openxmlformats.org/officeDocument/2006/relationships/hyperlink" Target="http://www.instrument.com.cn/download/shtml/092133.shtml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s://baike.baidu.com/item/%E6%8A%97%E7%94%9F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A6DDFE-E247-4906-9389-2062F49A6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1147</Words>
  <Characters>6540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20171221-5</dc:creator>
  <cp:lastModifiedBy>dell</cp:lastModifiedBy>
  <cp:revision>36</cp:revision>
  <cp:lastPrinted>2018-02-01T06:42:00Z</cp:lastPrinted>
  <dcterms:created xsi:type="dcterms:W3CDTF">2018-02-01T03:24:00Z</dcterms:created>
  <dcterms:modified xsi:type="dcterms:W3CDTF">2020-11-04T01:34:00Z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