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00C7A2F">
      <w:pPr>
        <w:jc w:val="distribute"/>
        <w:rPr>
          <w:rFonts w:ascii="Times New Roman" w:hAnsi="Times New Roman" w:eastAsia="黑体" w:cs="Times New Roman"/>
          <w:sz w:val="52"/>
          <w:szCs w:val="52"/>
        </w:rPr>
      </w:pPr>
      <w:r>
        <w:rPr>
          <w:rFonts w:hint="eastAsia" w:ascii="Times New Roman" w:hAnsi="Times New Roman" w:eastAsia="黑体" w:cs="黑体"/>
          <w:sz w:val="52"/>
          <w:szCs w:val="52"/>
        </w:rPr>
        <w:t>绿色食品生产操作规程</w:t>
      </w:r>
    </w:p>
    <w:p w14:paraId="7E5788DC">
      <w:pPr>
        <w:jc w:val="distribute"/>
        <w:rPr>
          <w:rFonts w:ascii="Times New Roman" w:hAnsi="Times New Roman" w:eastAsia="黑体" w:cs="Times New Roman"/>
          <w:sz w:val="52"/>
          <w:szCs w:val="52"/>
        </w:rPr>
      </w:pPr>
    </w:p>
    <w:p w14:paraId="266A318F">
      <w:pPr>
        <w:pBdr>
          <w:bottom w:val="single" w:color="auto" w:sz="6" w:space="1"/>
        </w:pBdr>
        <w:wordWrap w:val="0"/>
        <w:jc w:val="right"/>
        <w:rPr>
          <w:rFonts w:ascii="Times New Roman" w:hAnsi="Times New Roman" w:eastAsia="黑体" w:cs="Times New Roman"/>
          <w:sz w:val="28"/>
          <w:szCs w:val="28"/>
        </w:rPr>
      </w:pPr>
      <w:r>
        <w:rPr>
          <w:rFonts w:ascii="黑体" w:hAnsi="黑体" w:eastAsia="黑体" w:cs="宋体"/>
          <w:sz w:val="28"/>
          <w:szCs w:val="28"/>
        </w:rPr>
        <w:t>LB/T</w:t>
      </w:r>
      <w:r>
        <w:rPr>
          <w:rFonts w:hint="eastAsia" w:ascii="黑体" w:hAnsi="黑体" w:eastAsia="黑体" w:cs="宋体"/>
          <w:sz w:val="28"/>
          <w:szCs w:val="28"/>
        </w:rPr>
        <w:t xml:space="preserve"> 337</w:t>
      </w:r>
      <w:r>
        <w:rPr>
          <w:rFonts w:ascii="黑体" w:hAnsi="黑体" w:eastAsia="黑体" w:cs="宋体"/>
          <w:sz w:val="28"/>
          <w:szCs w:val="28"/>
        </w:rPr>
        <w:t>-</w:t>
      </w:r>
      <w:r>
        <w:rPr>
          <w:rFonts w:hint="eastAsia" w:ascii="黑体" w:hAnsi="黑体" w:eastAsia="黑体" w:cs="宋体"/>
          <w:sz w:val="28"/>
          <w:szCs w:val="28"/>
        </w:rPr>
        <w:t>2025</w:t>
      </w:r>
    </w:p>
    <w:p w14:paraId="5BA0D047">
      <w:pPr>
        <w:rPr>
          <w:rFonts w:ascii="Times New Roman" w:hAnsi="Times New Roman" w:eastAsia="黑体" w:cs="Times New Roman"/>
          <w:sz w:val="28"/>
          <w:szCs w:val="28"/>
        </w:rPr>
      </w:pPr>
    </w:p>
    <w:p w14:paraId="0B55D06F">
      <w:pPr>
        <w:rPr>
          <w:rFonts w:ascii="Times New Roman" w:hAnsi="Times New Roman" w:eastAsia="黑体" w:cs="Times New Roman"/>
          <w:sz w:val="28"/>
          <w:szCs w:val="28"/>
        </w:rPr>
      </w:pPr>
    </w:p>
    <w:p w14:paraId="20F8945C">
      <w:pPr>
        <w:rPr>
          <w:rFonts w:ascii="Times New Roman" w:hAnsi="Times New Roman" w:eastAsia="黑体" w:cs="Times New Roman"/>
          <w:sz w:val="28"/>
          <w:szCs w:val="28"/>
        </w:rPr>
      </w:pPr>
    </w:p>
    <w:p w14:paraId="713D3FE1">
      <w:pPr>
        <w:rPr>
          <w:rFonts w:ascii="Times New Roman" w:hAnsi="Times New Roman" w:eastAsia="黑体" w:cs="Times New Roman"/>
          <w:sz w:val="28"/>
          <w:szCs w:val="28"/>
        </w:rPr>
      </w:pPr>
    </w:p>
    <w:p w14:paraId="3D3EE141">
      <w:pPr>
        <w:rPr>
          <w:rFonts w:ascii="Times New Roman" w:hAnsi="Times New Roman" w:eastAsia="黑体" w:cs="Times New Roman"/>
          <w:sz w:val="28"/>
          <w:szCs w:val="28"/>
        </w:rPr>
      </w:pPr>
    </w:p>
    <w:p w14:paraId="42A1A6BF">
      <w:pPr>
        <w:rPr>
          <w:rFonts w:ascii="Times New Roman" w:hAnsi="Times New Roman" w:eastAsia="黑体" w:cs="Times New Roman"/>
          <w:sz w:val="28"/>
          <w:szCs w:val="28"/>
        </w:rPr>
      </w:pPr>
    </w:p>
    <w:p w14:paraId="1E234E24">
      <w:pPr>
        <w:rPr>
          <w:rFonts w:ascii="Times New Roman" w:hAnsi="Times New Roman" w:eastAsia="黑体" w:cs="Times New Roman"/>
          <w:sz w:val="28"/>
          <w:szCs w:val="28"/>
        </w:rPr>
      </w:pPr>
    </w:p>
    <w:p w14:paraId="583341EC">
      <w:pPr>
        <w:rPr>
          <w:rFonts w:ascii="Times New Roman" w:hAnsi="Times New Roman" w:eastAsia="黑体" w:cs="Times New Roman"/>
          <w:sz w:val="28"/>
          <w:szCs w:val="28"/>
        </w:rPr>
      </w:pPr>
    </w:p>
    <w:p w14:paraId="604BBC15">
      <w:pPr>
        <w:rPr>
          <w:rFonts w:ascii="Times New Roman" w:hAnsi="Times New Roman" w:eastAsia="黑体" w:cs="Times New Roman"/>
          <w:sz w:val="28"/>
          <w:szCs w:val="28"/>
        </w:rPr>
      </w:pPr>
    </w:p>
    <w:p w14:paraId="12D218BD">
      <w:pPr>
        <w:rPr>
          <w:rFonts w:ascii="Times New Roman" w:hAnsi="Times New Roman" w:eastAsia="黑体" w:cs="Times New Roman"/>
          <w:sz w:val="28"/>
          <w:szCs w:val="28"/>
        </w:rPr>
      </w:pPr>
    </w:p>
    <w:p w14:paraId="3DA66E49">
      <w:pPr>
        <w:jc w:val="center"/>
        <w:rPr>
          <w:rFonts w:ascii="Times New Roman" w:hAnsi="Times New Roman" w:eastAsia="黑体" w:cs="Times New Roman"/>
          <w:sz w:val="52"/>
          <w:szCs w:val="52"/>
        </w:rPr>
      </w:pPr>
    </w:p>
    <w:p w14:paraId="2358C6C7">
      <w:pPr>
        <w:jc w:val="center"/>
        <w:rPr>
          <w:rFonts w:ascii="Times New Roman" w:hAnsi="Times New Roman" w:eastAsia="黑体" w:cs="Times New Roman"/>
          <w:sz w:val="52"/>
          <w:szCs w:val="52"/>
        </w:rPr>
      </w:pPr>
      <w:r>
        <w:rPr>
          <w:rFonts w:hint="eastAsia" w:ascii="Times New Roman" w:hAnsi="Times New Roman" w:eastAsia="黑体" w:cs="黑体"/>
          <w:sz w:val="52"/>
          <w:szCs w:val="52"/>
        </w:rPr>
        <w:t>绿色食品加工用橄榄生产操作规程</w:t>
      </w:r>
    </w:p>
    <w:p w14:paraId="620DE37C">
      <w:pPr>
        <w:jc w:val="center"/>
        <w:rPr>
          <w:rFonts w:ascii="Times New Roman" w:hAnsi="Times New Roman" w:eastAsia="黑体" w:cs="Times New Roman"/>
          <w:sz w:val="28"/>
          <w:szCs w:val="28"/>
        </w:rPr>
      </w:pPr>
    </w:p>
    <w:p w14:paraId="0E18A40A">
      <w:pPr>
        <w:jc w:val="center"/>
        <w:rPr>
          <w:rFonts w:ascii="Times New Roman" w:hAnsi="Times New Roman" w:eastAsia="黑体" w:cs="Times New Roman"/>
          <w:sz w:val="28"/>
          <w:szCs w:val="28"/>
        </w:rPr>
      </w:pPr>
    </w:p>
    <w:p w14:paraId="3D9EBF80">
      <w:pPr>
        <w:jc w:val="center"/>
        <w:rPr>
          <w:rFonts w:ascii="Times New Roman" w:hAnsi="Times New Roman" w:eastAsia="黑体" w:cs="Times New Roman"/>
          <w:sz w:val="32"/>
          <w:szCs w:val="32"/>
        </w:rPr>
      </w:pPr>
    </w:p>
    <w:p w14:paraId="2AFC3C4E">
      <w:pPr>
        <w:jc w:val="center"/>
        <w:rPr>
          <w:rFonts w:ascii="Times New Roman" w:hAnsi="Times New Roman" w:eastAsia="黑体" w:cs="Times New Roman"/>
          <w:sz w:val="32"/>
          <w:szCs w:val="32"/>
        </w:rPr>
      </w:pPr>
    </w:p>
    <w:p w14:paraId="57FE9575">
      <w:pPr>
        <w:jc w:val="center"/>
        <w:rPr>
          <w:rFonts w:ascii="Times New Roman" w:hAnsi="Times New Roman" w:eastAsia="黑体" w:cs="Times New Roman"/>
          <w:sz w:val="32"/>
          <w:szCs w:val="32"/>
        </w:rPr>
      </w:pPr>
    </w:p>
    <w:p w14:paraId="3B70D1F4">
      <w:pPr>
        <w:jc w:val="center"/>
        <w:rPr>
          <w:rFonts w:ascii="Times New Roman" w:hAnsi="Times New Roman" w:eastAsia="黑体" w:cs="Times New Roman"/>
          <w:sz w:val="32"/>
          <w:szCs w:val="32"/>
        </w:rPr>
      </w:pPr>
    </w:p>
    <w:p w14:paraId="3C6060DB">
      <w:pPr>
        <w:jc w:val="center"/>
        <w:rPr>
          <w:rFonts w:ascii="Times New Roman" w:hAnsi="Times New Roman" w:eastAsia="黑体" w:cs="Times New Roman"/>
          <w:sz w:val="32"/>
          <w:szCs w:val="32"/>
        </w:rPr>
      </w:pPr>
    </w:p>
    <w:p w14:paraId="1297BD24">
      <w:pPr>
        <w:jc w:val="center"/>
        <w:rPr>
          <w:rFonts w:ascii="Times New Roman" w:hAnsi="Times New Roman" w:eastAsia="黑体" w:cs="Times New Roman"/>
          <w:sz w:val="28"/>
          <w:szCs w:val="28"/>
        </w:rPr>
      </w:pPr>
    </w:p>
    <w:p w14:paraId="7C76A9AE">
      <w:pPr>
        <w:jc w:val="center"/>
        <w:rPr>
          <w:rFonts w:ascii="Times New Roman" w:hAnsi="Times New Roman" w:eastAsia="黑体" w:cs="Times New Roman"/>
          <w:sz w:val="28"/>
          <w:szCs w:val="28"/>
        </w:rPr>
      </w:pPr>
    </w:p>
    <w:p w14:paraId="1532C0BA">
      <w:pPr>
        <w:jc w:val="center"/>
        <w:rPr>
          <w:rFonts w:ascii="Times New Roman" w:hAnsi="Times New Roman" w:eastAsia="黑体" w:cs="Times New Roman"/>
          <w:sz w:val="28"/>
          <w:szCs w:val="28"/>
        </w:rPr>
      </w:pPr>
    </w:p>
    <w:p w14:paraId="4404C45D">
      <w:pPr>
        <w:jc w:val="center"/>
        <w:rPr>
          <w:rFonts w:ascii="Times New Roman" w:hAnsi="Times New Roman" w:eastAsia="黑体" w:cs="Times New Roman"/>
          <w:sz w:val="28"/>
          <w:szCs w:val="28"/>
        </w:rPr>
      </w:pPr>
    </w:p>
    <w:p w14:paraId="5656C363">
      <w:pPr>
        <w:jc w:val="center"/>
        <w:rPr>
          <w:rFonts w:ascii="Times New Roman" w:hAnsi="Times New Roman" w:eastAsia="黑体" w:cs="Times New Roman"/>
          <w:sz w:val="28"/>
          <w:szCs w:val="28"/>
        </w:rPr>
      </w:pPr>
    </w:p>
    <w:p w14:paraId="43245AA0">
      <w:pPr>
        <w:rPr>
          <w:rFonts w:ascii="Times New Roman" w:hAnsi="Times New Roman" w:eastAsia="黑体" w:cs="Times New Roman"/>
          <w:sz w:val="28"/>
          <w:szCs w:val="28"/>
        </w:rPr>
      </w:pPr>
    </w:p>
    <w:p w14:paraId="3B65801A">
      <w:pPr>
        <w:jc w:val="center"/>
        <w:rPr>
          <w:rFonts w:ascii="Times New Roman" w:hAnsi="Times New Roman" w:eastAsia="黑体" w:cs="Times New Roman"/>
          <w:sz w:val="28"/>
          <w:szCs w:val="28"/>
        </w:rPr>
      </w:pPr>
    </w:p>
    <w:p w14:paraId="11810FBE">
      <w:pPr>
        <w:jc w:val="left"/>
        <w:rPr>
          <w:rFonts w:ascii="Times New Roman" w:hAnsi="Times New Roman" w:eastAsia="黑体" w:cs="Times New Roman"/>
          <w:sz w:val="28"/>
          <w:szCs w:val="28"/>
        </w:rPr>
      </w:pPr>
    </w:p>
    <w:p w14:paraId="780AF036">
      <w:pPr>
        <w:pStyle w:val="28"/>
        <w:spacing w:before="120" w:beforeLines="50" w:after="120" w:afterLines="50" w:line="400" w:lineRule="atLeast"/>
        <w:ind w:firstLine="0" w:firstLineChars="0"/>
        <w:jc w:val="left"/>
        <w:rPr>
          <w:rFonts w:ascii="黑体" w:eastAsia="黑体"/>
          <w:sz w:val="28"/>
          <w:szCs w:val="28"/>
        </w:rPr>
      </w:pPr>
      <w:r>
        <w:rPr>
          <w:rFonts w:hint="eastAsia" w:ascii="黑体" w:hAnsi="黑体" w:eastAsia="黑体" w:cs="宋体"/>
          <w:sz w:val="28"/>
          <w:szCs w:val="28"/>
        </w:rPr>
        <w:t>2025-</w:t>
      </w:r>
      <w:r>
        <w:rPr>
          <w:rFonts w:hint="eastAsia" w:ascii="黑体" w:hAnsi="黑体" w:eastAsia="黑体" w:cs="宋体"/>
          <w:sz w:val="28"/>
          <w:szCs w:val="28"/>
          <w:lang w:val="en-US" w:eastAsia="zh-CN"/>
        </w:rPr>
        <w:t>04</w:t>
      </w:r>
      <w:r>
        <w:rPr>
          <w:rFonts w:hint="eastAsia" w:ascii="黑体" w:hAnsi="黑体" w:eastAsia="黑体" w:cs="宋体"/>
          <w:sz w:val="28"/>
          <w:szCs w:val="28"/>
        </w:rPr>
        <w:t>-</w:t>
      </w:r>
      <w:r>
        <w:rPr>
          <w:rFonts w:hint="eastAsia" w:ascii="黑体" w:hAnsi="黑体" w:eastAsia="黑体" w:cs="宋体"/>
          <w:sz w:val="28"/>
          <w:szCs w:val="28"/>
          <w:lang w:val="en-US" w:eastAsia="zh-CN"/>
        </w:rPr>
        <w:t>01</w:t>
      </w:r>
      <w:r>
        <w:rPr>
          <w:rFonts w:hint="eastAsia" w:ascii="黑体" w:hAnsi="黑体" w:eastAsia="黑体" w:cs="宋体"/>
          <w:sz w:val="28"/>
          <w:szCs w:val="28"/>
        </w:rPr>
        <w:t xml:space="preserve">发布     </w:t>
      </w:r>
      <w:r>
        <w:rPr>
          <w:rFonts w:ascii="黑体" w:hAnsi="黑体" w:eastAsia="黑体" w:cs="宋体"/>
          <w:sz w:val="28"/>
          <w:szCs w:val="28"/>
        </w:rPr>
        <w:t xml:space="preserve">      </w:t>
      </w:r>
      <w:r>
        <w:rPr>
          <w:rFonts w:hint="eastAsia" w:ascii="黑体" w:hAnsi="黑体" w:eastAsia="黑体" w:cs="宋体"/>
          <w:sz w:val="28"/>
          <w:szCs w:val="28"/>
          <w:lang w:val="en-US" w:eastAsia="zh-CN"/>
        </w:rPr>
        <w:t xml:space="preserve">       </w:t>
      </w:r>
      <w:bookmarkStart w:id="1" w:name="_GoBack"/>
      <w:bookmarkEnd w:id="1"/>
      <w:r>
        <w:rPr>
          <w:rFonts w:ascii="黑体" w:hAnsi="黑体" w:eastAsia="黑体" w:cs="宋体"/>
          <w:sz w:val="28"/>
          <w:szCs w:val="28"/>
        </w:rPr>
        <w:t xml:space="preserve">       </w:t>
      </w:r>
      <w:r>
        <w:rPr>
          <w:rFonts w:hint="eastAsia" w:ascii="黑体" w:hAnsi="黑体" w:eastAsia="黑体" w:cs="宋体"/>
          <w:sz w:val="28"/>
          <w:szCs w:val="28"/>
        </w:rPr>
        <w:t xml:space="preserve">     2025-</w:t>
      </w:r>
      <w:r>
        <w:rPr>
          <w:rFonts w:hint="eastAsia" w:ascii="黑体" w:hAnsi="黑体" w:eastAsia="黑体" w:cs="宋体"/>
          <w:sz w:val="28"/>
          <w:szCs w:val="28"/>
          <w:lang w:val="en-US" w:eastAsia="zh-CN"/>
        </w:rPr>
        <w:t>04</w:t>
      </w:r>
      <w:r>
        <w:rPr>
          <w:rFonts w:hint="eastAsia" w:ascii="黑体" w:hAnsi="黑体" w:eastAsia="黑体" w:cs="宋体"/>
          <w:sz w:val="28"/>
          <w:szCs w:val="28"/>
        </w:rPr>
        <w:t>-</w:t>
      </w:r>
      <w:r>
        <w:rPr>
          <w:rFonts w:hint="eastAsia" w:ascii="黑体" w:hAnsi="黑体" w:eastAsia="黑体" w:cs="宋体"/>
          <w:sz w:val="28"/>
          <w:szCs w:val="28"/>
          <w:lang w:val="en-US" w:eastAsia="zh-CN"/>
        </w:rPr>
        <w:t>01</w:t>
      </w:r>
      <w:r>
        <w:rPr>
          <w:rFonts w:hint="eastAsia" w:ascii="黑体" w:hAnsi="黑体" w:eastAsia="黑体" w:cs="宋体"/>
          <w:sz w:val="28"/>
          <w:szCs w:val="28"/>
        </w:rPr>
        <w:t>实施</w:t>
      </w:r>
    </w:p>
    <w:p w14:paraId="42245670">
      <w:pPr>
        <w:pBdr>
          <w:bottom w:val="single" w:color="auto" w:sz="6" w:space="1"/>
        </w:pBdr>
        <w:jc w:val="right"/>
        <w:rPr>
          <w:rFonts w:ascii="Times New Roman" w:hAnsi="Times New Roman" w:eastAsia="黑体" w:cs="Times New Roman"/>
          <w:sz w:val="28"/>
          <w:szCs w:val="28"/>
        </w:rPr>
      </w:pPr>
    </w:p>
    <w:p w14:paraId="4C770EAA">
      <w:pPr>
        <w:jc w:val="center"/>
        <w:rPr>
          <w:rFonts w:ascii="Times New Roman" w:hAnsi="Times New Roman" w:eastAsia="黑体" w:cs="Times New Roman"/>
          <w:sz w:val="28"/>
          <w:szCs w:val="28"/>
        </w:rPr>
      </w:pPr>
    </w:p>
    <w:p w14:paraId="49B396A2">
      <w:pPr>
        <w:pStyle w:val="28"/>
        <w:spacing w:before="120" w:beforeLines="50" w:after="120" w:afterLines="50" w:line="400" w:lineRule="atLeast"/>
        <w:ind w:firstLine="0" w:firstLineChars="0"/>
        <w:jc w:val="center"/>
        <w:rPr>
          <w:rFonts w:ascii="黑体" w:eastAsia="黑体"/>
          <w:sz w:val="28"/>
          <w:szCs w:val="28"/>
        </w:rPr>
      </w:pPr>
      <w:r>
        <w:rPr>
          <w:rFonts w:hint="eastAsia" w:ascii="华文中宋" w:eastAsia="华文中宋" w:cs="华文中宋"/>
          <w:spacing w:val="70"/>
          <w:kern w:val="0"/>
          <w:sz w:val="32"/>
          <w:szCs w:val="32"/>
        </w:rPr>
        <w:t>中国绿色食品发展中</w:t>
      </w:r>
      <w:r>
        <w:rPr>
          <w:rFonts w:hint="eastAsia" w:ascii="华文中宋" w:eastAsia="华文中宋" w:cs="华文中宋"/>
          <w:spacing w:val="10"/>
          <w:kern w:val="0"/>
          <w:sz w:val="32"/>
          <w:szCs w:val="32"/>
        </w:rPr>
        <w:t>心</w:t>
      </w:r>
      <w:r>
        <w:rPr>
          <w:rFonts w:ascii="华文中宋" w:eastAsia="华文中宋" w:cs="华文中宋"/>
          <w:kern w:val="0"/>
          <w:sz w:val="32"/>
          <w:szCs w:val="32"/>
        </w:rPr>
        <w:t xml:space="preserve">  </w:t>
      </w:r>
      <w:r>
        <w:rPr>
          <w:rFonts w:hint="eastAsia" w:ascii="黑体" w:eastAsia="黑体" w:cs="黑体"/>
          <w:sz w:val="28"/>
          <w:szCs w:val="28"/>
        </w:rPr>
        <w:t>发</w:t>
      </w:r>
      <w:r>
        <w:rPr>
          <w:rFonts w:ascii="黑体" w:eastAsia="黑体" w:cs="黑体"/>
          <w:sz w:val="28"/>
          <w:szCs w:val="28"/>
        </w:rPr>
        <w:t xml:space="preserve"> </w:t>
      </w:r>
      <w:r>
        <w:rPr>
          <w:rFonts w:hint="eastAsia" w:ascii="黑体" w:eastAsia="黑体" w:cs="黑体"/>
          <w:sz w:val="28"/>
          <w:szCs w:val="28"/>
        </w:rPr>
        <w:t>布</w:t>
      </w:r>
    </w:p>
    <w:p w14:paraId="1168F461">
      <w:pPr>
        <w:jc w:val="center"/>
        <w:rPr>
          <w:rFonts w:ascii="Times New Roman" w:hAnsi="Times New Roman" w:eastAsia="黑体" w:cs="Times New Roman"/>
          <w:sz w:val="28"/>
          <w:szCs w:val="28"/>
        </w:rPr>
        <w:sectPr>
          <w:headerReference r:id="rId5" w:type="first"/>
          <w:headerReference r:id="rId3" w:type="default"/>
          <w:footerReference r:id="rId6" w:type="default"/>
          <w:headerReference r:id="rId4" w:type="even"/>
          <w:pgSz w:w="11910" w:h="16840"/>
          <w:pgMar w:top="1440" w:right="1800" w:bottom="1440" w:left="1800" w:header="1448" w:footer="1141" w:gutter="0"/>
          <w:cols w:space="720" w:num="1"/>
          <w:docGrid w:linePitch="286" w:charSpace="0"/>
        </w:sectPr>
      </w:pPr>
    </w:p>
    <w:p w14:paraId="4C7A4BB0">
      <w:pPr>
        <w:pStyle w:val="28"/>
        <w:spacing w:before="120" w:beforeLines="50" w:after="120" w:afterLines="50" w:line="400" w:lineRule="atLeast"/>
        <w:ind w:firstLine="0" w:firstLineChars="0"/>
        <w:rPr>
          <w:rFonts w:ascii="宋体"/>
          <w:sz w:val="28"/>
          <w:szCs w:val="28"/>
        </w:rPr>
      </w:pPr>
    </w:p>
    <w:p w14:paraId="04AE0174">
      <w:pPr>
        <w:pStyle w:val="28"/>
        <w:spacing w:before="120" w:beforeLines="50" w:after="120" w:afterLines="50" w:line="400" w:lineRule="atLeast"/>
        <w:ind w:left="357" w:firstLine="0" w:firstLineChars="0"/>
        <w:jc w:val="center"/>
        <w:rPr>
          <w:rFonts w:ascii="黑体" w:eastAsia="黑体"/>
          <w:sz w:val="32"/>
          <w:szCs w:val="32"/>
        </w:rPr>
      </w:pPr>
    </w:p>
    <w:p w14:paraId="46835C02">
      <w:pPr>
        <w:pStyle w:val="28"/>
        <w:spacing w:before="120" w:beforeLines="50" w:after="120" w:afterLines="50" w:line="400" w:lineRule="atLeast"/>
        <w:ind w:left="357" w:firstLine="0" w:firstLineChars="0"/>
        <w:jc w:val="center"/>
        <w:rPr>
          <w:rFonts w:ascii="黑体" w:eastAsia="黑体"/>
          <w:sz w:val="32"/>
          <w:szCs w:val="32"/>
        </w:rPr>
      </w:pPr>
      <w:r>
        <w:rPr>
          <w:rFonts w:hint="eastAsia" w:ascii="黑体" w:eastAsia="黑体" w:cs="黑体"/>
          <w:sz w:val="32"/>
          <w:szCs w:val="32"/>
        </w:rPr>
        <w:t>前</w:t>
      </w:r>
      <w:r>
        <w:rPr>
          <w:rFonts w:ascii="黑体" w:eastAsia="黑体" w:cs="黑体"/>
          <w:sz w:val="32"/>
          <w:szCs w:val="32"/>
        </w:rPr>
        <w:t xml:space="preserve">  </w:t>
      </w:r>
      <w:r>
        <w:rPr>
          <w:rFonts w:hint="eastAsia" w:ascii="黑体" w:eastAsia="黑体" w:cs="黑体"/>
          <w:sz w:val="32"/>
          <w:szCs w:val="32"/>
        </w:rPr>
        <w:t>言</w:t>
      </w:r>
    </w:p>
    <w:p w14:paraId="6CE37BFA">
      <w:pPr>
        <w:pStyle w:val="28"/>
        <w:spacing w:before="120" w:beforeLines="50" w:after="120" w:afterLines="50" w:line="400" w:lineRule="atLeast"/>
        <w:ind w:left="357" w:firstLine="0" w:firstLineChars="0"/>
        <w:jc w:val="center"/>
        <w:rPr>
          <w:rFonts w:ascii="黑体" w:eastAsia="黑体"/>
          <w:sz w:val="32"/>
          <w:szCs w:val="32"/>
        </w:rPr>
      </w:pPr>
    </w:p>
    <w:p w14:paraId="3268FE45">
      <w:pPr>
        <w:spacing w:line="360" w:lineRule="exact"/>
        <w:ind w:firstLine="420" w:firstLineChars="200"/>
        <w:rPr>
          <w:rFonts w:ascii="Times New Roman" w:hAnsi="Times New Roman" w:cs="Times New Roman"/>
        </w:rPr>
      </w:pPr>
      <w:r>
        <w:rPr>
          <w:rFonts w:hint="eastAsia" w:ascii="Times New Roman" w:hAnsi="Times New Roman" w:cs="宋体"/>
        </w:rPr>
        <w:t>本规程由中国绿色食品发展中心提出并归口。</w:t>
      </w:r>
    </w:p>
    <w:p w14:paraId="6EF4714E">
      <w:pPr>
        <w:spacing w:line="360" w:lineRule="exact"/>
        <w:ind w:firstLine="420" w:firstLineChars="200"/>
        <w:rPr>
          <w:rFonts w:ascii="Times New Roman" w:hAnsi="Times New Roman" w:cs="Times New Roman"/>
        </w:rPr>
      </w:pPr>
      <w:r>
        <w:rPr>
          <w:rFonts w:hint="eastAsia" w:ascii="Times New Roman" w:hAnsi="Times New Roman" w:cs="宋体"/>
        </w:rPr>
        <w:t>本规程起草单位：福建省绿色食品发展中心、福建省农业科学院农业质量标准与检测技术研究所、福建省农业科学院果树研究所、云南省绿色食品发展中心、广西壮族自治区绿色食品发展中心、广东省绿色</w:t>
      </w:r>
      <w:r>
        <w:rPr>
          <w:rFonts w:ascii="Times New Roman" w:hAnsi="Times New Roman" w:cs="宋体"/>
        </w:rPr>
        <w:t>食品发展中心</w:t>
      </w:r>
      <w:r>
        <w:rPr>
          <w:rFonts w:hint="eastAsia" w:ascii="Times New Roman" w:hAnsi="Times New Roman" w:cs="宋体"/>
        </w:rPr>
        <w:t>、四川省绿色食品发展中心。</w:t>
      </w:r>
    </w:p>
    <w:p w14:paraId="2A018A82">
      <w:pPr>
        <w:spacing w:line="360" w:lineRule="exact"/>
        <w:ind w:firstLine="420" w:firstLineChars="200"/>
        <w:rPr>
          <w:rFonts w:ascii="Times New Roman" w:hAnsi="Times New Roman" w:cs="Times New Roman"/>
        </w:rPr>
        <w:sectPr>
          <w:headerReference r:id="rId9" w:type="first"/>
          <w:headerReference r:id="rId7" w:type="default"/>
          <w:footerReference r:id="rId10" w:type="default"/>
          <w:headerReference r:id="rId8" w:type="even"/>
          <w:pgSz w:w="11910" w:h="16840"/>
          <w:pgMar w:top="1440" w:right="1800" w:bottom="1440" w:left="1800" w:header="1448" w:footer="1141" w:gutter="0"/>
          <w:pgNumType w:fmt="upperRoman" w:start="1"/>
          <w:cols w:space="720" w:num="1"/>
          <w:docGrid w:linePitch="286" w:charSpace="0"/>
        </w:sectPr>
      </w:pPr>
      <w:r>
        <w:rPr>
          <w:rFonts w:hint="eastAsia" w:ascii="Times New Roman" w:hAnsi="Times New Roman" w:cs="宋体"/>
        </w:rPr>
        <w:t>本规程主要起草人：杨芳、汤宇青、曾</w:t>
      </w:r>
      <w:r>
        <w:rPr>
          <w:rFonts w:ascii="Times New Roman" w:hAnsi="Times New Roman" w:cs="宋体"/>
        </w:rPr>
        <w:t>晓勇、</w:t>
      </w:r>
      <w:r>
        <w:rPr>
          <w:rFonts w:hint="eastAsia" w:ascii="Times New Roman" w:hAnsi="Times New Roman" w:cs="宋体"/>
        </w:rPr>
        <w:t>傅</w:t>
      </w:r>
      <w:r>
        <w:rPr>
          <w:rFonts w:ascii="Times New Roman" w:hAnsi="Times New Roman" w:cs="宋体"/>
        </w:rPr>
        <w:t>建炜、</w:t>
      </w:r>
      <w:r>
        <w:rPr>
          <w:rFonts w:hint="eastAsia" w:ascii="Times New Roman" w:hAnsi="Times New Roman" w:cs="宋体"/>
        </w:rPr>
        <w:t>张宪、马雪、钱琳刚、谢秋</w:t>
      </w:r>
      <w:r>
        <w:rPr>
          <w:rFonts w:ascii="Times New Roman" w:hAnsi="Times New Roman" w:cs="宋体"/>
        </w:rPr>
        <w:t>萍、</w:t>
      </w:r>
      <w:r>
        <w:rPr>
          <w:rFonts w:hint="eastAsia" w:ascii="Times New Roman" w:hAnsi="Times New Roman" w:cs="宋体"/>
        </w:rPr>
        <w:t>陈</w:t>
      </w:r>
      <w:r>
        <w:rPr>
          <w:rFonts w:ascii="Times New Roman" w:hAnsi="Times New Roman" w:cs="宋体"/>
        </w:rPr>
        <w:t>丽华</w:t>
      </w:r>
      <w:r>
        <w:rPr>
          <w:rFonts w:hint="eastAsia" w:ascii="Times New Roman" w:hAnsi="Times New Roman" w:cs="宋体"/>
        </w:rPr>
        <w:t>、陆燕、胡冠华、王艳蓉、</w:t>
      </w:r>
      <w:r>
        <w:rPr>
          <w:rFonts w:ascii="Times New Roman" w:hAnsi="Times New Roman" w:cs="宋体"/>
        </w:rPr>
        <w:t>郭丹琦</w:t>
      </w:r>
      <w:r>
        <w:rPr>
          <w:rFonts w:hint="eastAsia" w:ascii="Times New Roman" w:hAnsi="Times New Roman" w:cs="宋体"/>
        </w:rPr>
        <w:t>。</w:t>
      </w:r>
    </w:p>
    <w:p w14:paraId="09A7C7FC">
      <w:pPr>
        <w:spacing w:line="360" w:lineRule="auto"/>
        <w:jc w:val="center"/>
        <w:rPr>
          <w:rFonts w:ascii="Times New Roman" w:hAnsi="Times New Roman" w:eastAsia="黑体" w:cs="黑体"/>
          <w:sz w:val="32"/>
          <w:szCs w:val="32"/>
        </w:rPr>
      </w:pPr>
      <w:r>
        <w:rPr>
          <w:rFonts w:hint="eastAsia" w:ascii="Times New Roman" w:hAnsi="Times New Roman" w:eastAsia="黑体" w:cs="黑体"/>
          <w:sz w:val="32"/>
          <w:szCs w:val="32"/>
        </w:rPr>
        <w:t>绿色食品加工用橄榄生产操作规程</w:t>
      </w:r>
    </w:p>
    <w:p w14:paraId="668DFE69">
      <w:pPr>
        <w:spacing w:line="360" w:lineRule="auto"/>
        <w:jc w:val="center"/>
        <w:rPr>
          <w:rFonts w:ascii="Times New Roman" w:hAnsi="Times New Roman" w:eastAsia="黑体" w:cs="Times New Roman"/>
          <w:sz w:val="32"/>
          <w:szCs w:val="32"/>
        </w:rPr>
      </w:pPr>
    </w:p>
    <w:p w14:paraId="581139A0">
      <w:pPr>
        <w:pStyle w:val="2"/>
      </w:pPr>
      <w:r>
        <w:t>1</w:t>
      </w:r>
      <w:r>
        <w:rPr>
          <w:rFonts w:hint="eastAsia" w:cs="黑体"/>
        </w:rPr>
        <w:t>范围</w:t>
      </w:r>
    </w:p>
    <w:p w14:paraId="0D3740C3">
      <w:pPr>
        <w:adjustRightInd w:val="0"/>
        <w:snapToGrid w:val="0"/>
        <w:spacing w:line="360" w:lineRule="auto"/>
        <w:ind w:firstLine="420" w:firstLineChars="200"/>
        <w:rPr>
          <w:rFonts w:ascii="Times New Roman" w:hAnsi="Times New Roman" w:cs="Times New Roman"/>
        </w:rPr>
      </w:pPr>
      <w:r>
        <w:rPr>
          <w:rFonts w:hint="eastAsia" w:ascii="Times New Roman" w:hAnsi="Times New Roman" w:cs="宋体"/>
        </w:rPr>
        <w:t>本规程规定了绿色食品加工用橄榄的产地环境、品种</w:t>
      </w:r>
      <w:r>
        <w:rPr>
          <w:rFonts w:ascii="Times New Roman" w:hAnsi="Times New Roman" w:cs="宋体"/>
        </w:rPr>
        <w:t>选择</w:t>
      </w:r>
      <w:r>
        <w:rPr>
          <w:rFonts w:hint="eastAsia" w:ascii="Times New Roman" w:hAnsi="Times New Roman" w:cs="宋体"/>
        </w:rPr>
        <w:t>、苗木培育、小树</w:t>
      </w:r>
      <w:r>
        <w:rPr>
          <w:rFonts w:ascii="Times New Roman" w:hAnsi="Times New Roman" w:cs="宋体"/>
        </w:rPr>
        <w:t>嫁接、</w:t>
      </w:r>
      <w:r>
        <w:rPr>
          <w:rFonts w:hint="eastAsia" w:ascii="Times New Roman" w:hAnsi="Times New Roman" w:cs="宋体"/>
        </w:rPr>
        <w:t>整地定植、土肥水管理、树体</w:t>
      </w:r>
      <w:r>
        <w:rPr>
          <w:rFonts w:ascii="Times New Roman" w:hAnsi="Times New Roman" w:cs="宋体"/>
        </w:rPr>
        <w:t>管理、</w:t>
      </w:r>
      <w:r>
        <w:rPr>
          <w:rFonts w:hint="eastAsia" w:ascii="Times New Roman" w:hAnsi="Times New Roman" w:cs="宋体"/>
        </w:rPr>
        <w:t>病虫害防治、采收包装、储藏运输、生产废弃物的处理及生产档案管理。</w:t>
      </w:r>
    </w:p>
    <w:p w14:paraId="270B9E28">
      <w:pPr>
        <w:adjustRightInd w:val="0"/>
        <w:snapToGrid w:val="0"/>
        <w:spacing w:line="360" w:lineRule="auto"/>
        <w:ind w:firstLine="420" w:firstLineChars="200"/>
        <w:rPr>
          <w:rFonts w:ascii="Times New Roman" w:hAnsi="Times New Roman" w:cs="Times New Roman"/>
        </w:rPr>
      </w:pPr>
      <w:r>
        <w:rPr>
          <w:rFonts w:hint="eastAsia" w:ascii="Times New Roman" w:hAnsi="Times New Roman" w:cs="宋体"/>
        </w:rPr>
        <w:t>本规程适用于福建、广东、广西、四川、云南的绿色食品加工用橄榄生产。</w:t>
      </w:r>
    </w:p>
    <w:p w14:paraId="3A81D2E1">
      <w:pPr>
        <w:pStyle w:val="2"/>
        <w:rPr>
          <w:rFonts w:cs="Times New Roman"/>
        </w:rPr>
      </w:pPr>
      <w:r>
        <w:rPr>
          <w:rFonts w:cs="Times New Roman"/>
        </w:rPr>
        <w:t>2</w:t>
      </w:r>
      <w:r>
        <w:rPr>
          <w:rFonts w:hint="eastAsia"/>
        </w:rPr>
        <w:t>规范性引用文件</w:t>
      </w:r>
    </w:p>
    <w:p w14:paraId="3EA04FC5">
      <w:pPr>
        <w:adjustRightInd w:val="0"/>
        <w:snapToGrid w:val="0"/>
        <w:spacing w:line="360" w:lineRule="auto"/>
        <w:ind w:firstLine="420" w:firstLineChars="200"/>
        <w:rPr>
          <w:rFonts w:ascii="Times New Roman" w:hAnsi="Times New Roman" w:cs="宋体"/>
        </w:rPr>
      </w:pPr>
      <w:r>
        <w:rPr>
          <w:rFonts w:hint="eastAsia" w:ascii="Times New Roman" w:hAnsi="Times New Roman" w:cs="宋体"/>
        </w:rPr>
        <w:t>下列文件中的内容通过文中的规范性引用而构成本规程必不可少的条款。其中，注日期的引用文件，仅该日期对应的版本适用于本规程；不注日期的引用文件，其最新版本（包括所有的修改单）适用于本规程。</w:t>
      </w:r>
    </w:p>
    <w:p w14:paraId="4F929750">
      <w:pPr>
        <w:adjustRightInd w:val="0"/>
        <w:snapToGrid w:val="0"/>
        <w:spacing w:line="360" w:lineRule="auto"/>
        <w:ind w:firstLine="420" w:firstLineChars="200"/>
        <w:rPr>
          <w:rFonts w:ascii="Times New Roman" w:hAnsi="Times New Roman" w:cs="Times New Roman"/>
        </w:rPr>
      </w:pPr>
      <w:r>
        <w:rPr>
          <w:rFonts w:ascii="Times New Roman" w:hAnsi="Times New Roman" w:cs="Times New Roman"/>
        </w:rPr>
        <w:t xml:space="preserve">NY/T 391  </w:t>
      </w:r>
      <w:r>
        <w:rPr>
          <w:rFonts w:hint="eastAsia" w:ascii="Times New Roman" w:hAnsi="Times New Roman" w:cs="宋体"/>
        </w:rPr>
        <w:t>绿色食品</w:t>
      </w:r>
      <w:r>
        <w:rPr>
          <w:rFonts w:ascii="Times New Roman" w:hAnsi="Times New Roman" w:cs="Times New Roman"/>
        </w:rPr>
        <w:t xml:space="preserve"> </w:t>
      </w:r>
      <w:r>
        <w:rPr>
          <w:rFonts w:hint="eastAsia" w:ascii="Times New Roman" w:hAnsi="Times New Roman" w:cs="宋体"/>
        </w:rPr>
        <w:t>产地环境质量</w:t>
      </w:r>
    </w:p>
    <w:p w14:paraId="0952D151">
      <w:pPr>
        <w:adjustRightInd w:val="0"/>
        <w:snapToGrid w:val="0"/>
        <w:spacing w:line="360" w:lineRule="auto"/>
        <w:ind w:firstLine="420" w:firstLineChars="200"/>
        <w:rPr>
          <w:rFonts w:ascii="Times New Roman" w:hAnsi="Times New Roman" w:cs="Times New Roman"/>
        </w:rPr>
      </w:pPr>
      <w:r>
        <w:rPr>
          <w:rFonts w:ascii="Times New Roman" w:hAnsi="Times New Roman" w:cs="Times New Roman"/>
        </w:rPr>
        <w:t xml:space="preserve">NY/T 393  </w:t>
      </w:r>
      <w:r>
        <w:rPr>
          <w:rFonts w:hint="eastAsia" w:ascii="Times New Roman" w:hAnsi="Times New Roman" w:cs="宋体"/>
        </w:rPr>
        <w:t>绿色食品</w:t>
      </w:r>
      <w:r>
        <w:rPr>
          <w:rFonts w:ascii="Times New Roman" w:hAnsi="Times New Roman" w:cs="Times New Roman"/>
        </w:rPr>
        <w:t xml:space="preserve"> </w:t>
      </w:r>
      <w:r>
        <w:rPr>
          <w:rFonts w:hint="eastAsia" w:ascii="Times New Roman" w:hAnsi="Times New Roman" w:cs="宋体"/>
        </w:rPr>
        <w:t>农药使用准则</w:t>
      </w:r>
    </w:p>
    <w:p w14:paraId="3338DAB1">
      <w:pPr>
        <w:adjustRightInd w:val="0"/>
        <w:snapToGrid w:val="0"/>
        <w:spacing w:line="360" w:lineRule="auto"/>
        <w:ind w:firstLine="420" w:firstLineChars="200"/>
        <w:rPr>
          <w:rFonts w:ascii="Times New Roman" w:hAnsi="Times New Roman" w:cs="Times New Roman"/>
        </w:rPr>
      </w:pPr>
      <w:r>
        <w:rPr>
          <w:rFonts w:ascii="Times New Roman" w:hAnsi="Times New Roman" w:cs="Times New Roman"/>
        </w:rPr>
        <w:t xml:space="preserve">NY/T 394  </w:t>
      </w:r>
      <w:r>
        <w:rPr>
          <w:rFonts w:hint="eastAsia" w:ascii="Times New Roman" w:hAnsi="Times New Roman" w:cs="宋体"/>
        </w:rPr>
        <w:t>绿色食品</w:t>
      </w:r>
      <w:r>
        <w:rPr>
          <w:rFonts w:ascii="Times New Roman" w:hAnsi="Times New Roman" w:cs="Times New Roman"/>
        </w:rPr>
        <w:t xml:space="preserve"> </w:t>
      </w:r>
      <w:r>
        <w:rPr>
          <w:rFonts w:hint="eastAsia" w:ascii="Times New Roman" w:hAnsi="Times New Roman" w:cs="宋体"/>
        </w:rPr>
        <w:t>肥料使用准则</w:t>
      </w:r>
    </w:p>
    <w:p w14:paraId="22CDFE31">
      <w:pPr>
        <w:adjustRightInd w:val="0"/>
        <w:snapToGrid w:val="0"/>
        <w:spacing w:line="360" w:lineRule="auto"/>
        <w:ind w:firstLine="420" w:firstLineChars="200"/>
        <w:rPr>
          <w:rFonts w:ascii="Times New Roman" w:hAnsi="Times New Roman" w:cs="Times New Roman"/>
        </w:rPr>
      </w:pPr>
      <w:r>
        <w:rPr>
          <w:rFonts w:ascii="Times New Roman" w:hAnsi="Times New Roman" w:cs="Times New Roman"/>
        </w:rPr>
        <w:t xml:space="preserve">NY/T 658  </w:t>
      </w:r>
      <w:r>
        <w:rPr>
          <w:rFonts w:hint="eastAsia" w:ascii="Times New Roman" w:hAnsi="Times New Roman" w:cs="宋体"/>
        </w:rPr>
        <w:t>绿色食品</w:t>
      </w:r>
      <w:r>
        <w:rPr>
          <w:rFonts w:ascii="Times New Roman" w:hAnsi="Times New Roman" w:cs="Times New Roman"/>
        </w:rPr>
        <w:t xml:space="preserve"> </w:t>
      </w:r>
      <w:r>
        <w:rPr>
          <w:rFonts w:hint="eastAsia" w:ascii="Times New Roman" w:hAnsi="Times New Roman" w:cs="宋体"/>
        </w:rPr>
        <w:t>包装通用准则</w:t>
      </w:r>
    </w:p>
    <w:p w14:paraId="54B61300">
      <w:pPr>
        <w:adjustRightInd w:val="0"/>
        <w:snapToGrid w:val="0"/>
        <w:spacing w:line="360" w:lineRule="auto"/>
        <w:ind w:firstLine="420" w:firstLineChars="200"/>
        <w:rPr>
          <w:rFonts w:ascii="Times New Roman" w:hAnsi="Times New Roman" w:cs="Times New Roman"/>
        </w:rPr>
      </w:pPr>
      <w:r>
        <w:rPr>
          <w:rFonts w:hint="eastAsia" w:ascii="Times New Roman" w:hAnsi="Times New Roman" w:cs="Times New Roman"/>
        </w:rPr>
        <w:t xml:space="preserve">NY/T 750  绿色食品 热带、亚热带水果 </w:t>
      </w:r>
    </w:p>
    <w:p w14:paraId="56CE77A0">
      <w:pPr>
        <w:adjustRightInd w:val="0"/>
        <w:snapToGrid w:val="0"/>
        <w:spacing w:line="360" w:lineRule="auto"/>
        <w:ind w:firstLine="420" w:firstLineChars="200"/>
        <w:rPr>
          <w:rFonts w:ascii="Times New Roman" w:hAnsi="Times New Roman" w:cs="Times New Roman"/>
        </w:rPr>
      </w:pPr>
      <w:r>
        <w:rPr>
          <w:rFonts w:ascii="Times New Roman" w:hAnsi="Times New Roman" w:cs="Times New Roman"/>
        </w:rPr>
        <w:t xml:space="preserve">NY/T 1056 </w:t>
      </w:r>
      <w:r>
        <w:rPr>
          <w:rFonts w:hint="eastAsia" w:ascii="Times New Roman" w:hAnsi="Times New Roman" w:cs="宋体"/>
        </w:rPr>
        <w:t>绿色食品</w:t>
      </w:r>
      <w:r>
        <w:rPr>
          <w:rFonts w:ascii="Times New Roman" w:hAnsi="Times New Roman" w:cs="Times New Roman"/>
        </w:rPr>
        <w:t xml:space="preserve"> </w:t>
      </w:r>
      <w:r>
        <w:rPr>
          <w:rFonts w:hint="eastAsia" w:ascii="Times New Roman" w:hAnsi="Times New Roman" w:cs="宋体"/>
        </w:rPr>
        <w:t>储藏运输准则</w:t>
      </w:r>
    </w:p>
    <w:p w14:paraId="728A001A">
      <w:pPr>
        <w:pStyle w:val="2"/>
        <w:rPr>
          <w:rFonts w:cs="Times New Roman"/>
        </w:rPr>
      </w:pPr>
      <w:r>
        <w:rPr>
          <w:rFonts w:cs="Times New Roman"/>
        </w:rPr>
        <w:t>3</w:t>
      </w:r>
      <w:r>
        <w:rPr>
          <w:rFonts w:hint="eastAsia"/>
        </w:rPr>
        <w:t>产地环境</w:t>
      </w:r>
    </w:p>
    <w:p w14:paraId="69999FF8">
      <w:pPr>
        <w:pStyle w:val="3"/>
        <w:rPr>
          <w:rFonts w:hint="default"/>
        </w:rPr>
      </w:pPr>
      <w:r>
        <w:t>3.1 产地地选址</w:t>
      </w:r>
    </w:p>
    <w:p w14:paraId="5567C111">
      <w:pPr>
        <w:tabs>
          <w:tab w:val="left" w:pos="6660"/>
        </w:tabs>
        <w:adjustRightInd w:val="0"/>
        <w:snapToGrid w:val="0"/>
        <w:spacing w:line="360" w:lineRule="auto"/>
        <w:ind w:firstLine="420" w:firstLineChars="200"/>
        <w:rPr>
          <w:rFonts w:ascii="Times New Roman" w:hAnsi="Times New Roman" w:eastAsia="黑体" w:cs="Times New Roman"/>
        </w:rPr>
      </w:pPr>
      <w:r>
        <w:rPr>
          <w:rFonts w:hint="eastAsia" w:ascii="Times New Roman" w:hAnsi="Times New Roman" w:cs="宋体"/>
        </w:rPr>
        <w:t>绿色食品加工用橄榄产地应选择生态环境良好，远离工矿区、公路铁路干线和生活区，具有持续生产能力的农业生产区域。地面开阔、日照充足、空气流通，周围有茂密的林木，有充足的水源流域的低丘、坡地、岗地等，临近江边或溪边更佳。产地环境应符合</w:t>
      </w:r>
      <w:r>
        <w:rPr>
          <w:rFonts w:ascii="Times New Roman" w:hAnsi="Times New Roman" w:cs="宋体"/>
        </w:rPr>
        <w:t>NY/T 391</w:t>
      </w:r>
      <w:r>
        <w:rPr>
          <w:rFonts w:hint="eastAsia" w:ascii="Times New Roman" w:hAnsi="Times New Roman" w:cs="宋体"/>
        </w:rPr>
        <w:t>的规定。</w:t>
      </w:r>
      <w:r>
        <w:rPr>
          <w:rFonts w:ascii="Times New Roman" w:hAnsi="Times New Roman" w:eastAsia="黑体" w:cs="Times New Roman"/>
        </w:rPr>
        <w:tab/>
      </w:r>
    </w:p>
    <w:p w14:paraId="7CA62135">
      <w:pPr>
        <w:pStyle w:val="3"/>
        <w:rPr>
          <w:rFonts w:hint="default"/>
        </w:rPr>
      </w:pPr>
      <w:r>
        <w:t>3.2</w:t>
      </w:r>
      <w:r>
        <w:rPr>
          <w:rFonts w:cs="黑体"/>
        </w:rPr>
        <w:t>气候条件</w:t>
      </w:r>
    </w:p>
    <w:p w14:paraId="1173DE4E">
      <w:pPr>
        <w:tabs>
          <w:tab w:val="left" w:pos="6660"/>
        </w:tabs>
        <w:adjustRightInd w:val="0"/>
        <w:snapToGrid w:val="0"/>
        <w:spacing w:line="360" w:lineRule="auto"/>
        <w:ind w:firstLine="420" w:firstLineChars="200"/>
        <w:rPr>
          <w:rFonts w:ascii="Times New Roman" w:hAnsi="Times New Roman" w:cs="宋体"/>
        </w:rPr>
      </w:pPr>
      <w:r>
        <w:rPr>
          <w:rFonts w:hint="eastAsia" w:ascii="Times New Roman" w:hAnsi="Times New Roman" w:cs="宋体"/>
        </w:rPr>
        <w:t>适宜的年均温度≥19 ℃，极端低温≥-3 ℃，≥10 ℃年活动积温6450小时以上，年均降水量1000 mm~2000 mm。</w:t>
      </w:r>
    </w:p>
    <w:p w14:paraId="491FB88A">
      <w:pPr>
        <w:pStyle w:val="3"/>
        <w:rPr>
          <w:rFonts w:hint="default" w:cs="宋体"/>
        </w:rPr>
      </w:pPr>
      <w:r>
        <w:t>3.3地形地势</w:t>
      </w:r>
    </w:p>
    <w:p w14:paraId="712F93B2">
      <w:pPr>
        <w:tabs>
          <w:tab w:val="left" w:pos="6660"/>
        </w:tabs>
        <w:adjustRightInd w:val="0"/>
        <w:snapToGrid w:val="0"/>
        <w:spacing w:line="360" w:lineRule="auto"/>
        <w:ind w:firstLine="420" w:firstLineChars="200"/>
        <w:rPr>
          <w:rFonts w:ascii="Times New Roman" w:hAnsi="Times New Roman" w:cs="宋体"/>
        </w:rPr>
      </w:pPr>
      <w:r>
        <w:rPr>
          <w:rFonts w:hint="eastAsia" w:ascii="Times New Roman" w:hAnsi="Times New Roman" w:cs="宋体"/>
        </w:rPr>
        <w:t>坡向宜选择东南向或南向，坡度15 °~25 °的坡地按等高线修成水平梯台，坡度＞25 °的陡坡地采用鱼鳞坑整地，以利于水土保持和果园管理。</w:t>
      </w:r>
    </w:p>
    <w:p w14:paraId="6F452080">
      <w:pPr>
        <w:pStyle w:val="3"/>
        <w:rPr>
          <w:rFonts w:hint="default"/>
        </w:rPr>
      </w:pPr>
      <w:r>
        <w:t>3.4土壤条件</w:t>
      </w:r>
    </w:p>
    <w:p w14:paraId="7BEAFA65">
      <w:pPr>
        <w:tabs>
          <w:tab w:val="left" w:pos="6660"/>
        </w:tabs>
        <w:adjustRightInd w:val="0"/>
        <w:snapToGrid w:val="0"/>
        <w:spacing w:line="360" w:lineRule="auto"/>
        <w:ind w:firstLine="420" w:firstLineChars="200"/>
        <w:rPr>
          <w:rFonts w:ascii="Times New Roman" w:hAnsi="Times New Roman" w:cs="宋体"/>
        </w:rPr>
      </w:pPr>
      <w:r>
        <w:rPr>
          <w:rFonts w:hint="eastAsia" w:ascii="Times New Roman" w:hAnsi="Times New Roman" w:cs="宋体"/>
        </w:rPr>
        <w:t>红壤土、红黄壤土、沙壤土为宜，有机质含量≥</w:t>
      </w:r>
      <w:r>
        <w:rPr>
          <w:rFonts w:ascii="Times New Roman" w:hAnsi="Times New Roman" w:cs="宋体"/>
        </w:rPr>
        <w:t>0.8 %</w:t>
      </w:r>
      <w:r>
        <w:rPr>
          <w:rFonts w:hint="eastAsia" w:ascii="Times New Roman" w:hAnsi="Times New Roman" w:cs="宋体"/>
        </w:rPr>
        <w:t>，</w:t>
      </w:r>
      <w:r>
        <w:rPr>
          <w:rFonts w:ascii="Times New Roman" w:hAnsi="Times New Roman" w:cs="宋体"/>
        </w:rPr>
        <w:t>pH</w:t>
      </w:r>
      <w:r>
        <w:rPr>
          <w:rFonts w:hint="eastAsia" w:ascii="Times New Roman" w:hAnsi="Times New Roman" w:cs="宋体"/>
        </w:rPr>
        <w:t>值为</w:t>
      </w:r>
      <w:r>
        <w:rPr>
          <w:rFonts w:ascii="Times New Roman" w:hAnsi="Times New Roman" w:cs="宋体"/>
        </w:rPr>
        <w:t>5.0~7.0</w:t>
      </w:r>
      <w:r>
        <w:rPr>
          <w:rFonts w:hint="eastAsia" w:ascii="Times New Roman" w:hAnsi="Times New Roman" w:cs="宋体"/>
        </w:rPr>
        <w:t>，土层厚度≥</w:t>
      </w:r>
      <w:r>
        <w:rPr>
          <w:rFonts w:ascii="Times New Roman" w:hAnsi="Times New Roman" w:cs="宋体"/>
        </w:rPr>
        <w:t>0.8 m</w:t>
      </w:r>
      <w:r>
        <w:rPr>
          <w:rFonts w:hint="eastAsia" w:ascii="Times New Roman" w:hAnsi="Times New Roman" w:cs="宋体"/>
        </w:rPr>
        <w:t>，地下水位≤</w:t>
      </w:r>
      <w:r>
        <w:rPr>
          <w:rFonts w:ascii="Times New Roman" w:hAnsi="Times New Roman" w:cs="宋体"/>
        </w:rPr>
        <w:t>1.5 m</w:t>
      </w:r>
      <w:r>
        <w:rPr>
          <w:rFonts w:hint="eastAsia" w:ascii="Times New Roman" w:hAnsi="Times New Roman" w:cs="宋体"/>
        </w:rPr>
        <w:t>。土层深厚、疏松肥沃、土壤透气性好、排灌良好。</w:t>
      </w:r>
    </w:p>
    <w:p w14:paraId="64E24EB9">
      <w:pPr>
        <w:pStyle w:val="2"/>
      </w:pPr>
      <w:r>
        <w:rPr>
          <w:rFonts w:cs="Times New Roman"/>
        </w:rPr>
        <w:t>4</w:t>
      </w:r>
      <w:r>
        <w:rPr>
          <w:rFonts w:hint="eastAsia" w:cs="Times New Roman"/>
        </w:rPr>
        <w:t xml:space="preserve"> </w:t>
      </w:r>
      <w:r>
        <w:rPr>
          <w:rFonts w:hint="eastAsia"/>
        </w:rPr>
        <w:t>品种选择</w:t>
      </w:r>
    </w:p>
    <w:p w14:paraId="1E620FC8">
      <w:pPr>
        <w:adjustRightInd w:val="0"/>
        <w:snapToGrid w:val="0"/>
        <w:spacing w:line="360" w:lineRule="auto"/>
        <w:ind w:firstLine="420" w:firstLineChars="200"/>
        <w:rPr>
          <w:rFonts w:ascii="Times New Roman" w:hAnsi="Times New Roman" w:cs="宋体"/>
        </w:rPr>
      </w:pPr>
      <w:r>
        <w:rPr>
          <w:rFonts w:hint="eastAsia" w:ascii="Times New Roman" w:hAnsi="Times New Roman" w:cs="宋体"/>
        </w:rPr>
        <w:t>推荐选择适合本区域种植的品种，如糯米橄榄、惠圆、自来圆、黄大、黄接本、大粒黄、长营、长穗、长梭、橄榄干、大头黄、黄仔、三方、汕头白榄、大红心等。</w:t>
      </w:r>
    </w:p>
    <w:p w14:paraId="2D3EA840">
      <w:pPr>
        <w:pStyle w:val="2"/>
      </w:pPr>
      <w:r>
        <w:t xml:space="preserve">5 </w:t>
      </w:r>
      <w:r>
        <w:rPr>
          <w:rFonts w:hint="eastAsia"/>
        </w:rPr>
        <w:t>苗木培育</w:t>
      </w:r>
    </w:p>
    <w:p w14:paraId="06769C30">
      <w:pPr>
        <w:pStyle w:val="3"/>
        <w:rPr>
          <w:rFonts w:hint="default"/>
        </w:rPr>
      </w:pPr>
      <w:r>
        <w:t>5.1营养袋实生苗培育</w:t>
      </w:r>
    </w:p>
    <w:p w14:paraId="68F866D1">
      <w:pPr>
        <w:adjustRightInd w:val="0"/>
        <w:snapToGrid w:val="0"/>
        <w:spacing w:line="360" w:lineRule="auto"/>
        <w:ind w:firstLine="420" w:firstLineChars="200"/>
        <w:rPr>
          <w:rFonts w:ascii="Times New Roman" w:hAnsi="Times New Roman" w:cs="宋体"/>
        </w:rPr>
      </w:pPr>
      <w:r>
        <w:rPr>
          <w:rFonts w:hint="eastAsia" w:ascii="Times New Roman" w:hAnsi="Times New Roman" w:cs="宋体"/>
        </w:rPr>
        <w:t>选择苗木离袋面</w:t>
      </w:r>
      <w:r>
        <w:rPr>
          <w:rFonts w:ascii="Times New Roman" w:hAnsi="Times New Roman" w:cs="宋体"/>
        </w:rPr>
        <w:t>10 cm</w:t>
      </w:r>
      <w:r>
        <w:rPr>
          <w:rFonts w:hint="eastAsia" w:ascii="Times New Roman" w:hAnsi="Times New Roman" w:cs="宋体"/>
        </w:rPr>
        <w:t>处茎粗≥</w:t>
      </w:r>
      <w:r>
        <w:rPr>
          <w:rFonts w:ascii="Times New Roman" w:hAnsi="Times New Roman" w:cs="宋体"/>
        </w:rPr>
        <w:t>1.5 cm</w:t>
      </w:r>
      <w:r>
        <w:rPr>
          <w:rFonts w:hint="eastAsia" w:ascii="Times New Roman" w:hAnsi="Times New Roman" w:cs="宋体"/>
        </w:rPr>
        <w:t>，苗木高度</w:t>
      </w:r>
      <w:r>
        <w:rPr>
          <w:rFonts w:ascii="Times New Roman" w:hAnsi="Times New Roman" w:cs="宋体"/>
        </w:rPr>
        <w:t>50 cm~70 cm</w:t>
      </w:r>
      <w:r>
        <w:rPr>
          <w:rFonts w:hint="eastAsia" w:ascii="Times New Roman" w:hAnsi="Times New Roman" w:cs="宋体"/>
        </w:rPr>
        <w:t>，有</w:t>
      </w:r>
      <w:r>
        <w:rPr>
          <w:rFonts w:ascii="Times New Roman" w:hAnsi="Times New Roman" w:cs="宋体"/>
        </w:rPr>
        <w:t>3</w:t>
      </w:r>
      <w:r>
        <w:rPr>
          <w:rFonts w:hint="eastAsia" w:ascii="Times New Roman" w:hAnsi="Times New Roman" w:cs="宋体"/>
        </w:rPr>
        <w:t>个</w:t>
      </w:r>
      <w:r>
        <w:rPr>
          <w:rFonts w:ascii="Times New Roman" w:hAnsi="Times New Roman" w:cs="宋体"/>
        </w:rPr>
        <w:t>~4</w:t>
      </w:r>
      <w:r>
        <w:rPr>
          <w:rFonts w:hint="eastAsia" w:ascii="Times New Roman" w:hAnsi="Times New Roman" w:cs="宋体"/>
        </w:rPr>
        <w:t>个发育饱满的芽，无病虫害、根系发达、叶色浓绿、健壮粗厚的营养袋实生苗。营养袋土和苗木根系粘合牢固，不松散、不分离。</w:t>
      </w:r>
    </w:p>
    <w:p w14:paraId="126FA816">
      <w:pPr>
        <w:pStyle w:val="3"/>
        <w:rPr>
          <w:rFonts w:hint="default"/>
        </w:rPr>
      </w:pPr>
      <w:r>
        <w:t>5.</w:t>
      </w:r>
      <w:r>
        <w:rPr>
          <w:rFonts w:hint="default"/>
        </w:rPr>
        <w:t>2</w:t>
      </w:r>
      <w:r>
        <w:t>苗木选择</w:t>
      </w:r>
    </w:p>
    <w:p w14:paraId="390EAD46">
      <w:pPr>
        <w:adjustRightInd w:val="0"/>
        <w:snapToGrid w:val="0"/>
        <w:spacing w:line="360" w:lineRule="auto"/>
        <w:ind w:firstLine="420" w:firstLineChars="200"/>
        <w:rPr>
          <w:rFonts w:ascii="Times New Roman" w:hAnsi="Times New Roman" w:cs="宋体"/>
        </w:rPr>
      </w:pPr>
      <w:r>
        <w:rPr>
          <w:rFonts w:hint="eastAsia" w:ascii="Times New Roman" w:hAnsi="Times New Roman" w:cs="宋体"/>
        </w:rPr>
        <w:t>选择品种纯正，砧穗愈合完好、无检疫性病虫害、耐涝抗病、优质稳产健壮的嫁接苗木。嫁接口上</w:t>
      </w:r>
      <w:r>
        <w:rPr>
          <w:rFonts w:ascii="Times New Roman" w:hAnsi="Times New Roman" w:cs="宋体"/>
        </w:rPr>
        <w:t>5 cm</w:t>
      </w:r>
      <w:r>
        <w:rPr>
          <w:rFonts w:hint="eastAsia" w:ascii="Times New Roman" w:hAnsi="Times New Roman" w:cs="宋体"/>
        </w:rPr>
        <w:t>处，茎粗≥</w:t>
      </w:r>
      <w:r>
        <w:rPr>
          <w:rFonts w:ascii="Times New Roman" w:hAnsi="Times New Roman" w:cs="宋体"/>
        </w:rPr>
        <w:t>1 cm</w:t>
      </w:r>
      <w:r>
        <w:rPr>
          <w:rFonts w:hint="eastAsia" w:ascii="Times New Roman" w:hAnsi="Times New Roman" w:cs="宋体"/>
        </w:rPr>
        <w:t>，嫁接口以上苗高≥</w:t>
      </w:r>
      <w:r>
        <w:rPr>
          <w:rFonts w:ascii="Times New Roman" w:hAnsi="Times New Roman" w:cs="宋体"/>
        </w:rPr>
        <w:t>50 cm</w:t>
      </w:r>
      <w:r>
        <w:rPr>
          <w:rFonts w:hint="eastAsia" w:ascii="Times New Roman" w:hAnsi="Times New Roman" w:cs="宋体"/>
        </w:rPr>
        <w:t>。</w:t>
      </w:r>
    </w:p>
    <w:p w14:paraId="06E0334C">
      <w:pPr>
        <w:pStyle w:val="2"/>
      </w:pPr>
      <w:r>
        <w:rPr>
          <w:rFonts w:hint="eastAsia"/>
        </w:rPr>
        <w:t>6</w:t>
      </w:r>
      <w:r>
        <w:t xml:space="preserve"> </w:t>
      </w:r>
      <w:r>
        <w:rPr>
          <w:rFonts w:hint="eastAsia"/>
        </w:rPr>
        <w:t>小树嫁接</w:t>
      </w:r>
    </w:p>
    <w:p w14:paraId="7A6D729C">
      <w:pPr>
        <w:adjustRightInd w:val="0"/>
        <w:snapToGrid w:val="0"/>
        <w:spacing w:line="360" w:lineRule="auto"/>
        <w:ind w:firstLine="420" w:firstLineChars="200"/>
        <w:rPr>
          <w:rFonts w:ascii="Times New Roman" w:hAnsi="Times New Roman" w:cs="宋体"/>
        </w:rPr>
      </w:pPr>
      <w:r>
        <w:rPr>
          <w:rFonts w:hint="eastAsia" w:ascii="Times New Roman" w:hAnsi="Times New Roman" w:cs="宋体"/>
        </w:rPr>
        <w:t>实生苗定植两年后，砧苗径粗达</w:t>
      </w:r>
      <w:r>
        <w:rPr>
          <w:rFonts w:ascii="Times New Roman" w:hAnsi="Times New Roman" w:cs="宋体"/>
        </w:rPr>
        <w:t>3 cm~5 cm</w:t>
      </w:r>
      <w:r>
        <w:rPr>
          <w:rFonts w:hint="eastAsia" w:ascii="Times New Roman" w:hAnsi="Times New Roman" w:cs="宋体"/>
          <w:color w:val="000000" w:themeColor="text1"/>
          <w14:textFill>
            <w14:solidFill>
              <w14:schemeClr w14:val="tx1"/>
            </w14:solidFill>
          </w14:textFill>
        </w:rPr>
        <w:t>，嫁接前对距离地面</w:t>
      </w:r>
      <w:r>
        <w:rPr>
          <w:rFonts w:ascii="Times New Roman" w:hAnsi="Times New Roman" w:cs="宋体"/>
          <w:color w:val="000000" w:themeColor="text1"/>
          <w14:textFill>
            <w14:solidFill>
              <w14:schemeClr w14:val="tx1"/>
            </w14:solidFill>
          </w14:textFill>
        </w:rPr>
        <w:t>45 cm</w:t>
      </w:r>
      <w:r>
        <w:rPr>
          <w:rFonts w:hint="eastAsia" w:ascii="Times New Roman" w:hAnsi="Times New Roman" w:cs="宋体"/>
          <w:color w:val="000000" w:themeColor="text1"/>
          <w14:textFill>
            <w14:solidFill>
              <w14:schemeClr w14:val="tx1"/>
            </w14:solidFill>
          </w14:textFill>
        </w:rPr>
        <w:t>左右的砧木进行截干处理，在春季选择优良品种、去叶留柄、含</w:t>
      </w:r>
      <w:r>
        <w:rPr>
          <w:rFonts w:ascii="Times New Roman" w:hAnsi="Times New Roman" w:cs="宋体"/>
          <w:color w:val="000000" w:themeColor="text1"/>
          <w14:textFill>
            <w14:solidFill>
              <w14:schemeClr w14:val="tx1"/>
            </w14:solidFill>
          </w14:textFill>
        </w:rPr>
        <w:t>2</w:t>
      </w:r>
      <w:r>
        <w:rPr>
          <w:rFonts w:hint="eastAsia" w:ascii="Times New Roman" w:hAnsi="Times New Roman" w:cs="宋体"/>
        </w:rPr>
        <w:t>个</w:t>
      </w:r>
      <w:r>
        <w:rPr>
          <w:rFonts w:ascii="Times New Roman" w:hAnsi="Times New Roman" w:cs="宋体"/>
        </w:rPr>
        <w:t>~3</w:t>
      </w:r>
      <w:r>
        <w:rPr>
          <w:rFonts w:hint="eastAsia" w:ascii="Times New Roman" w:hAnsi="Times New Roman" w:cs="宋体"/>
        </w:rPr>
        <w:t>个饱满芽的接穗条嫁接。插接穗时，迅速将接穗插入砧木切口，长削面朝内，接穗与砧木大小一致，接穗插入正中，接穗插入的深度以长削面上端微露切口为宜。嫁接</w:t>
      </w:r>
      <w:r>
        <w:rPr>
          <w:rFonts w:ascii="Times New Roman" w:hAnsi="Times New Roman" w:cs="宋体"/>
        </w:rPr>
        <w:t>20 d</w:t>
      </w:r>
      <w:r>
        <w:rPr>
          <w:rFonts w:hint="eastAsia" w:ascii="Times New Roman" w:hAnsi="Times New Roman" w:cs="宋体"/>
        </w:rPr>
        <w:t>后，及时抹除砧芽。</w:t>
      </w:r>
    </w:p>
    <w:p w14:paraId="7E44317E">
      <w:pPr>
        <w:pStyle w:val="2"/>
        <w:rPr>
          <w:rFonts w:cs="Times New Roman"/>
        </w:rPr>
      </w:pPr>
      <w:r>
        <w:t xml:space="preserve">7 </w:t>
      </w:r>
      <w:r>
        <w:rPr>
          <w:rFonts w:hint="eastAsia"/>
        </w:rPr>
        <w:t>整地定植</w:t>
      </w:r>
    </w:p>
    <w:p w14:paraId="3E3A1555">
      <w:pPr>
        <w:pStyle w:val="3"/>
        <w:rPr>
          <w:rFonts w:hint="default" w:cs="黑体"/>
        </w:rPr>
      </w:pPr>
      <w:r>
        <w:t xml:space="preserve">7.1 </w:t>
      </w:r>
      <w:r>
        <w:rPr>
          <w:rFonts w:cs="黑体"/>
        </w:rPr>
        <w:t>整地</w:t>
      </w:r>
    </w:p>
    <w:p w14:paraId="189E1D7E">
      <w:pPr>
        <w:adjustRightInd w:val="0"/>
        <w:snapToGrid w:val="0"/>
        <w:spacing w:line="360" w:lineRule="auto"/>
        <w:ind w:firstLine="420" w:firstLineChars="200"/>
        <w:rPr>
          <w:rFonts w:ascii="Times New Roman" w:hAnsi="Times New Roman" w:cs="宋体"/>
        </w:rPr>
      </w:pPr>
      <w:r>
        <w:rPr>
          <w:rFonts w:hint="eastAsia" w:ascii="Times New Roman" w:hAnsi="Times New Roman" w:cs="宋体"/>
        </w:rPr>
        <w:t>山地建园需修筑梯台或鱼鳞坑，根据山地坡度的大小确定梯台宽度，梯台宽度3 m～4 m为宜。定植前挖定植穴，穴长、宽、深各</w:t>
      </w:r>
      <w:r>
        <w:rPr>
          <w:rFonts w:ascii="Times New Roman" w:hAnsi="Times New Roman" w:cs="宋体"/>
        </w:rPr>
        <w:t>1</w:t>
      </w:r>
      <w:r>
        <w:rPr>
          <w:rFonts w:hint="eastAsia" w:ascii="Times New Roman" w:hAnsi="Times New Roman" w:cs="宋体"/>
        </w:rPr>
        <w:t xml:space="preserve"> </w:t>
      </w:r>
      <w:r>
        <w:rPr>
          <w:rFonts w:ascii="Times New Roman" w:hAnsi="Times New Roman" w:cs="宋体"/>
        </w:rPr>
        <w:t>m</w:t>
      </w:r>
      <w:r>
        <w:rPr>
          <w:rFonts w:hint="eastAsia" w:ascii="Times New Roman" w:hAnsi="Times New Roman" w:cs="宋体"/>
        </w:rPr>
        <w:t>。</w:t>
      </w:r>
    </w:p>
    <w:p w14:paraId="15665C86">
      <w:pPr>
        <w:adjustRightInd w:val="0"/>
        <w:snapToGrid w:val="0"/>
        <w:spacing w:line="360" w:lineRule="auto"/>
        <w:ind w:firstLine="420" w:firstLineChars="200"/>
        <w:rPr>
          <w:rFonts w:ascii="Times New Roman" w:hAnsi="Times New Roman" w:cs="宋体"/>
        </w:rPr>
      </w:pPr>
      <w:r>
        <w:rPr>
          <w:rFonts w:hint="eastAsia" w:ascii="Times New Roman" w:hAnsi="Times New Roman" w:cs="宋体"/>
        </w:rPr>
        <w:t>平地建园栽培方式主要有筑墩高畦和高畦深沟种植，按株距用种植穴周围表土或客土筑成直径1 m，高</w:t>
      </w:r>
      <w:r>
        <w:rPr>
          <w:rFonts w:ascii="Times New Roman" w:hAnsi="Times New Roman" w:cs="宋体"/>
        </w:rPr>
        <w:t>0.5</w:t>
      </w:r>
      <w:r>
        <w:rPr>
          <w:rFonts w:hint="eastAsia" w:ascii="Times New Roman" w:hAnsi="Times New Roman" w:cs="宋体"/>
        </w:rPr>
        <w:t xml:space="preserve"> m的土墩，在土墩上挖浅穴定植苗木。</w:t>
      </w:r>
    </w:p>
    <w:p w14:paraId="4DADC0DD">
      <w:pPr>
        <w:pStyle w:val="3"/>
        <w:rPr>
          <w:rFonts w:hint="default"/>
        </w:rPr>
      </w:pPr>
      <w:r>
        <w:t xml:space="preserve">7.2 </w:t>
      </w:r>
      <w:r>
        <w:rPr>
          <w:rFonts w:cs="黑体"/>
        </w:rPr>
        <w:t>定植</w:t>
      </w:r>
    </w:p>
    <w:p w14:paraId="79AF4CD3">
      <w:pPr>
        <w:adjustRightInd w:val="0"/>
        <w:snapToGrid w:val="0"/>
        <w:spacing w:line="360" w:lineRule="auto"/>
        <w:rPr>
          <w:rFonts w:ascii="Times New Roman" w:hAnsi="Times New Roman" w:eastAsia="黑体" w:cs="Times New Roman"/>
        </w:rPr>
      </w:pPr>
      <w:r>
        <w:rPr>
          <w:rFonts w:ascii="Times New Roman" w:hAnsi="Times New Roman" w:cs="Times New Roman"/>
        </w:rPr>
        <w:t>7.2.1</w:t>
      </w:r>
      <w:r>
        <w:rPr>
          <w:rFonts w:hint="eastAsia" w:ascii="Times New Roman" w:hAnsi="Times New Roman" w:eastAsia="黑体" w:cs="黑体"/>
        </w:rPr>
        <w:t>定植密度</w:t>
      </w:r>
    </w:p>
    <w:p w14:paraId="07DB6A37">
      <w:pPr>
        <w:adjustRightInd w:val="0"/>
        <w:snapToGrid w:val="0"/>
        <w:spacing w:line="360" w:lineRule="auto"/>
        <w:ind w:firstLine="420" w:firstLineChars="200"/>
        <w:rPr>
          <w:rFonts w:ascii="Times New Roman" w:hAnsi="Times New Roman" w:cs="Times New Roman"/>
        </w:rPr>
      </w:pPr>
      <w:r>
        <w:rPr>
          <w:rFonts w:hint="eastAsia" w:ascii="Times New Roman" w:hAnsi="Times New Roman" w:cs="宋体"/>
        </w:rPr>
        <w:t>根据栽培措施、立地条件、繁殖方法等确定定植密度。每亩种植15 株</w:t>
      </w:r>
      <w:r>
        <w:rPr>
          <w:rFonts w:ascii="Times New Roman" w:hAnsi="Times New Roman" w:cs="Times New Roman"/>
        </w:rPr>
        <w:t>~</w:t>
      </w:r>
      <w:r>
        <w:rPr>
          <w:rFonts w:hint="eastAsia" w:ascii="Times New Roman" w:hAnsi="Times New Roman" w:cs="Times New Roman"/>
        </w:rPr>
        <w:t>25 株，种植规格5 m×5 m</w:t>
      </w:r>
      <w:r>
        <w:rPr>
          <w:rFonts w:ascii="Times New Roman" w:hAnsi="Times New Roman" w:cs="Times New Roman"/>
        </w:rPr>
        <w:t>~</w:t>
      </w:r>
      <w:r>
        <w:rPr>
          <w:rFonts w:hint="eastAsia" w:ascii="Times New Roman" w:hAnsi="Times New Roman" w:cs="Times New Roman"/>
        </w:rPr>
        <w:t>7 m×7 m。坡度大、立体空间大的丘陵山地可种植密集，反之则种植稀疏。</w:t>
      </w:r>
    </w:p>
    <w:p w14:paraId="0489C6DC">
      <w:pPr>
        <w:adjustRightInd w:val="0"/>
        <w:snapToGrid w:val="0"/>
        <w:spacing w:line="360" w:lineRule="auto"/>
        <w:rPr>
          <w:rFonts w:ascii="Times New Roman" w:hAnsi="Times New Roman" w:eastAsia="黑体" w:cs="Times New Roman"/>
        </w:rPr>
      </w:pPr>
      <w:r>
        <w:rPr>
          <w:rFonts w:ascii="Times New Roman" w:hAnsi="Times New Roman" w:cs="Times New Roman"/>
        </w:rPr>
        <w:t>7.2.2</w:t>
      </w:r>
      <w:r>
        <w:rPr>
          <w:rFonts w:hint="eastAsia" w:ascii="Times New Roman" w:hAnsi="Times New Roman" w:eastAsia="黑体" w:cs="黑体"/>
        </w:rPr>
        <w:t>定植时间</w:t>
      </w:r>
    </w:p>
    <w:p w14:paraId="2D820D12">
      <w:pPr>
        <w:adjustRightInd w:val="0"/>
        <w:snapToGrid w:val="0"/>
        <w:spacing w:line="360" w:lineRule="auto"/>
        <w:ind w:firstLine="420" w:firstLineChars="200"/>
        <w:rPr>
          <w:rFonts w:ascii="Times New Roman" w:hAnsi="Times New Roman" w:cs="宋体"/>
        </w:rPr>
      </w:pPr>
      <w:r>
        <w:rPr>
          <w:rFonts w:hint="eastAsia" w:ascii="Times New Roman" w:hAnsi="Times New Roman" w:cs="宋体"/>
        </w:rPr>
        <w:t>春植在清明至谷雨春梢萌动前后进行。营养杯幼苗一年四季均可栽植。</w:t>
      </w:r>
    </w:p>
    <w:p w14:paraId="22863CAE">
      <w:pPr>
        <w:adjustRightInd w:val="0"/>
        <w:snapToGrid w:val="0"/>
        <w:spacing w:line="360" w:lineRule="auto"/>
        <w:rPr>
          <w:rFonts w:ascii="Times New Roman" w:hAnsi="Times New Roman" w:eastAsia="黑体" w:cs="黑体"/>
        </w:rPr>
      </w:pPr>
      <w:r>
        <w:rPr>
          <w:rFonts w:ascii="Times New Roman" w:hAnsi="Times New Roman" w:eastAsia="黑体" w:cs="Times New Roman"/>
        </w:rPr>
        <w:t>7.2.3</w:t>
      </w:r>
      <w:r>
        <w:rPr>
          <w:rFonts w:hint="eastAsia" w:ascii="Times New Roman" w:hAnsi="Times New Roman" w:eastAsia="黑体" w:cs="黑体"/>
        </w:rPr>
        <w:t>定植要求</w:t>
      </w:r>
    </w:p>
    <w:p w14:paraId="217EA04A">
      <w:pPr>
        <w:adjustRightInd w:val="0"/>
        <w:snapToGrid w:val="0"/>
        <w:spacing w:line="360" w:lineRule="auto"/>
        <w:ind w:firstLine="420" w:firstLineChars="200"/>
        <w:rPr>
          <w:rFonts w:ascii="Times New Roman" w:hAnsi="Times New Roman" w:cs="Times New Roman"/>
        </w:rPr>
      </w:pPr>
      <w:r>
        <w:rPr>
          <w:rFonts w:hint="eastAsia" w:ascii="Times New Roman" w:hAnsi="Times New Roman" w:cs="Times New Roman"/>
        </w:rPr>
        <w:t>袋苗一般是嫁接后再培育1年的嫁接苗，茎粗</w:t>
      </w:r>
      <w:r>
        <w:rPr>
          <w:rFonts w:ascii="Times New Roman" w:hAnsi="Times New Roman" w:cs="Times New Roman"/>
        </w:rPr>
        <w:t>1 cm</w:t>
      </w:r>
      <w:r>
        <w:rPr>
          <w:rFonts w:hint="eastAsia" w:ascii="Times New Roman" w:hAnsi="Times New Roman" w:cs="Times New Roman"/>
        </w:rPr>
        <w:t>以上。起苗时剪除</w:t>
      </w:r>
      <w:r>
        <w:rPr>
          <w:rFonts w:ascii="Times New Roman" w:hAnsi="Times New Roman" w:cs="Times New Roman"/>
        </w:rPr>
        <w:t>1/3~1/2</w:t>
      </w:r>
      <w:r>
        <w:rPr>
          <w:rFonts w:hint="eastAsia" w:ascii="Times New Roman" w:hAnsi="Times New Roman" w:cs="Times New Roman"/>
        </w:rPr>
        <w:t>叶子，剪断伸出营养袋的主根，将袋苗放入定植穴内后摆正扶直，剥离袋子，填入表</w:t>
      </w:r>
      <w:r>
        <w:rPr>
          <w:rFonts w:hint="eastAsia" w:ascii="Times New Roman" w:hAnsi="Times New Roman" w:cs="Times New Roman"/>
          <w:color w:val="000000" w:themeColor="text1"/>
          <w14:textFill>
            <w14:solidFill>
              <w14:schemeClr w14:val="tx1"/>
            </w14:solidFill>
          </w14:textFill>
        </w:rPr>
        <w:t>土，稍加压实，</w:t>
      </w:r>
      <w:r>
        <w:rPr>
          <w:rFonts w:hint="eastAsia" w:ascii="Times New Roman" w:hAnsi="Times New Roman" w:cs="Times New Roman"/>
        </w:rPr>
        <w:t>淋水浇透土壤，覆盖地膜、杂草等。</w:t>
      </w:r>
    </w:p>
    <w:p w14:paraId="07858016">
      <w:pPr>
        <w:pStyle w:val="2"/>
        <w:rPr>
          <w:color w:val="FF0000"/>
        </w:rPr>
      </w:pPr>
      <w:r>
        <w:rPr>
          <w:rFonts w:hint="eastAsia" w:ascii="Times New Roman" w:hAnsi="Times New Roman" w:cs="黑体"/>
        </w:rPr>
        <w:t>8</w:t>
      </w:r>
      <w:r>
        <w:rPr>
          <w:rFonts w:hint="eastAsia"/>
        </w:rPr>
        <w:t>土肥水管理</w:t>
      </w:r>
    </w:p>
    <w:p w14:paraId="2C109749">
      <w:pPr>
        <w:pStyle w:val="3"/>
        <w:rPr>
          <w:rFonts w:hint="default"/>
        </w:rPr>
      </w:pPr>
      <w:r>
        <w:t>8.1 土壤管理</w:t>
      </w:r>
    </w:p>
    <w:p w14:paraId="0F589338">
      <w:pPr>
        <w:adjustRightInd w:val="0"/>
        <w:snapToGrid w:val="0"/>
        <w:spacing w:line="360" w:lineRule="auto"/>
        <w:rPr>
          <w:rFonts w:ascii="Times New Roman" w:hAnsi="Times New Roman" w:eastAsia="黑体" w:cs="Times New Roman"/>
        </w:rPr>
      </w:pPr>
      <w:r>
        <w:rPr>
          <w:rFonts w:ascii="Times New Roman" w:hAnsi="Times New Roman" w:eastAsia="黑体" w:cs="Times New Roman"/>
        </w:rPr>
        <w:t xml:space="preserve">8.1.1 </w:t>
      </w:r>
      <w:r>
        <w:rPr>
          <w:rFonts w:hint="eastAsia" w:ascii="Times New Roman" w:hAnsi="Times New Roman" w:eastAsia="黑体" w:cs="Times New Roman"/>
        </w:rPr>
        <w:t>扩穴改土</w:t>
      </w:r>
    </w:p>
    <w:p w14:paraId="0293C437">
      <w:pPr>
        <w:pStyle w:val="16"/>
        <w:snapToGrid w:val="0"/>
        <w:spacing w:line="360" w:lineRule="auto"/>
        <w:ind w:firstLine="420"/>
        <w:rPr>
          <w:rFonts w:ascii="Times New Roman" w:hAnsi="Times New Roman" w:cs="宋体"/>
        </w:rPr>
      </w:pPr>
      <w:r>
        <w:rPr>
          <w:rFonts w:hint="eastAsia" w:ascii="宋体" w:hAnsi="宋体" w:cs="宋体"/>
          <w:kern w:val="2"/>
          <w:szCs w:val="21"/>
        </w:rPr>
        <w:t>扩穴改土一般在定</w:t>
      </w:r>
      <w:r>
        <w:rPr>
          <w:rFonts w:hint="eastAsia" w:ascii="Times New Roman" w:hAnsi="Times New Roman" w:cs="宋体"/>
          <w:kern w:val="2"/>
          <w:szCs w:val="21"/>
        </w:rPr>
        <w:t>植后第二年进行。扩穴改土要从定植穴两侧开始，下一年度在定植穴另两侧改土，并逐步向外扩展。在定植穴挖出的土壤，经过</w:t>
      </w:r>
      <w:r>
        <w:rPr>
          <w:rFonts w:ascii="Times New Roman" w:hAnsi="Times New Roman" w:cs="宋体"/>
          <w:kern w:val="2"/>
          <w:szCs w:val="21"/>
        </w:rPr>
        <w:t>1</w:t>
      </w:r>
      <w:r>
        <w:rPr>
          <w:rFonts w:hint="eastAsia" w:ascii="Times New Roman" w:hAnsi="Times New Roman" w:cs="宋体"/>
          <w:kern w:val="2"/>
          <w:szCs w:val="21"/>
        </w:rPr>
        <w:t>个月</w:t>
      </w:r>
      <w:r>
        <w:rPr>
          <w:rFonts w:ascii="Times New Roman" w:hAnsi="Times New Roman" w:cs="宋体"/>
          <w:kern w:val="2"/>
          <w:szCs w:val="21"/>
        </w:rPr>
        <w:t>~2</w:t>
      </w:r>
      <w:r>
        <w:rPr>
          <w:rFonts w:hint="eastAsia" w:ascii="Times New Roman" w:hAnsi="Times New Roman" w:cs="宋体"/>
          <w:kern w:val="2"/>
          <w:szCs w:val="21"/>
        </w:rPr>
        <w:t>个月日晒雨淋分化后，分</w:t>
      </w:r>
      <w:r>
        <w:rPr>
          <w:rFonts w:ascii="Times New Roman" w:hAnsi="Times New Roman" w:cs="宋体"/>
          <w:kern w:val="2"/>
          <w:szCs w:val="21"/>
        </w:rPr>
        <w:t>2</w:t>
      </w:r>
      <w:r>
        <w:rPr>
          <w:rFonts w:hint="eastAsia" w:ascii="Times New Roman" w:hAnsi="Times New Roman" w:cs="宋体"/>
          <w:kern w:val="2"/>
          <w:szCs w:val="21"/>
        </w:rPr>
        <w:t>层</w:t>
      </w:r>
      <w:r>
        <w:rPr>
          <w:rFonts w:ascii="Times New Roman" w:hAnsi="Times New Roman" w:cs="宋体"/>
          <w:kern w:val="2"/>
          <w:szCs w:val="21"/>
        </w:rPr>
        <w:t>~3</w:t>
      </w:r>
      <w:r>
        <w:rPr>
          <w:rFonts w:hint="eastAsia" w:ascii="Times New Roman" w:hAnsi="Times New Roman" w:cs="宋体"/>
          <w:kern w:val="2"/>
          <w:szCs w:val="21"/>
        </w:rPr>
        <w:t>层加入稻草、绿肥等进行土壤改良。</w:t>
      </w:r>
    </w:p>
    <w:p w14:paraId="7E00149C">
      <w:pPr>
        <w:adjustRightInd w:val="0"/>
        <w:snapToGrid w:val="0"/>
        <w:spacing w:line="360" w:lineRule="auto"/>
        <w:rPr>
          <w:rFonts w:ascii="Times New Roman" w:hAnsi="Times New Roman" w:eastAsia="黑体" w:cs="Times New Roman"/>
        </w:rPr>
      </w:pPr>
      <w:r>
        <w:rPr>
          <w:rFonts w:ascii="Times New Roman" w:hAnsi="Times New Roman" w:eastAsia="黑体" w:cs="Times New Roman"/>
        </w:rPr>
        <w:t xml:space="preserve">8.1.2 </w:t>
      </w:r>
      <w:r>
        <w:rPr>
          <w:rFonts w:hint="eastAsia" w:ascii="Times New Roman" w:hAnsi="Times New Roman" w:eastAsia="黑体" w:cs="Times New Roman"/>
        </w:rPr>
        <w:t>深翻改土</w:t>
      </w:r>
    </w:p>
    <w:p w14:paraId="1199FF64">
      <w:pPr>
        <w:pStyle w:val="16"/>
        <w:snapToGrid w:val="0"/>
        <w:spacing w:line="360" w:lineRule="auto"/>
        <w:ind w:firstLine="432"/>
        <w:rPr>
          <w:rFonts w:ascii="Times New Roman" w:hAnsi="Times New Roman" w:cs="宋体"/>
        </w:rPr>
      </w:pPr>
      <w:r>
        <w:rPr>
          <w:rFonts w:hint="eastAsia"/>
        </w:rPr>
        <w:t>深翻改土在秋冬进行，以采果后</w:t>
      </w:r>
      <w:r>
        <w:t>1</w:t>
      </w:r>
      <w:r>
        <w:rPr>
          <w:rFonts w:hint="eastAsia"/>
        </w:rPr>
        <w:t>月</w:t>
      </w:r>
      <w:r>
        <w:rPr>
          <w:rFonts w:ascii="Times New Roman" w:hAnsi="Times New Roman" w:cs="宋体"/>
          <w:kern w:val="2"/>
          <w:szCs w:val="21"/>
        </w:rPr>
        <w:t>~2</w:t>
      </w:r>
      <w:r>
        <w:rPr>
          <w:rFonts w:hint="eastAsia" w:ascii="Times New Roman" w:hAnsi="Times New Roman" w:cs="宋体"/>
          <w:kern w:val="2"/>
          <w:szCs w:val="21"/>
        </w:rPr>
        <w:t>月为宜。深翻每次刨深</w:t>
      </w:r>
      <w:r>
        <w:rPr>
          <w:rFonts w:ascii="Times New Roman" w:hAnsi="Times New Roman" w:cs="宋体"/>
          <w:kern w:val="2"/>
          <w:szCs w:val="21"/>
        </w:rPr>
        <w:t>25 cm~30 cm</w:t>
      </w:r>
      <w:r>
        <w:rPr>
          <w:rFonts w:hint="eastAsia" w:ascii="Times New Roman" w:hAnsi="Times New Roman" w:cs="宋体"/>
          <w:kern w:val="2"/>
          <w:szCs w:val="21"/>
        </w:rPr>
        <w:t>，刨起的土块掀翻，原土面朝下，心土朝上，撒些石灰。</w:t>
      </w:r>
    </w:p>
    <w:p w14:paraId="0E075E89">
      <w:pPr>
        <w:pStyle w:val="16"/>
        <w:snapToGrid w:val="0"/>
        <w:spacing w:line="360" w:lineRule="auto"/>
        <w:rPr>
          <w:b/>
          <w:bCs/>
        </w:rPr>
      </w:pPr>
      <w:r>
        <w:rPr>
          <w:rFonts w:ascii="Times New Roman" w:hAnsi="Times New Roman" w:eastAsia="黑体" w:cs="Times New Roman"/>
          <w:kern w:val="2"/>
          <w:szCs w:val="21"/>
        </w:rPr>
        <w:t xml:space="preserve">8.1.3 </w:t>
      </w:r>
      <w:r>
        <w:rPr>
          <w:rFonts w:hint="eastAsia" w:ascii="Times New Roman" w:hAnsi="Times New Roman" w:eastAsia="黑体" w:cs="Times New Roman"/>
          <w:kern w:val="2"/>
          <w:szCs w:val="21"/>
        </w:rPr>
        <w:t>果园生草、覆盖</w:t>
      </w:r>
    </w:p>
    <w:p w14:paraId="0BEF74B6">
      <w:pPr>
        <w:pStyle w:val="16"/>
        <w:snapToGrid w:val="0"/>
        <w:spacing w:line="360" w:lineRule="auto"/>
        <w:ind w:firstLine="420"/>
        <w:rPr>
          <w:rFonts w:ascii="Times New Roman" w:hAnsi="Times New Roman" w:eastAsia="黑体" w:cs="Times New Roman"/>
        </w:rPr>
      </w:pPr>
      <w:r>
        <w:rPr>
          <w:rFonts w:hint="eastAsia" w:ascii="Times New Roman" w:hAnsi="Times New Roman" w:cs="宋体"/>
        </w:rPr>
        <w:t>在果园种藿香蓟、白三叶、圆叶决明、紫花扁豆、百喜草等绿肥提高土壤肥力。</w:t>
      </w:r>
      <w:r>
        <w:rPr>
          <w:rFonts w:hint="eastAsia"/>
        </w:rPr>
        <w:t>在高温干旱、秋冬干旱、暴雨季节，可采用树盘覆盖，在树冠内部的地面上利用杂草、农作物秸秆和薄膜等覆盖，覆盖厚度</w:t>
      </w:r>
      <w:r>
        <w:t>10 cm</w:t>
      </w:r>
      <w:r>
        <w:rPr>
          <w:rFonts w:ascii="Times New Roman" w:hAnsi="Times New Roman" w:cs="宋体"/>
          <w:kern w:val="2"/>
          <w:szCs w:val="21"/>
        </w:rPr>
        <w:t>~15 cm</w:t>
      </w:r>
      <w:r>
        <w:rPr>
          <w:rFonts w:hint="eastAsia" w:ascii="Times New Roman" w:hAnsi="Times New Roman" w:cs="宋体"/>
          <w:kern w:val="2"/>
          <w:szCs w:val="21"/>
        </w:rPr>
        <w:t>。</w:t>
      </w:r>
    </w:p>
    <w:p w14:paraId="5977C199">
      <w:pPr>
        <w:pStyle w:val="3"/>
        <w:rPr>
          <w:rFonts w:hint="default"/>
        </w:rPr>
      </w:pPr>
      <w:r>
        <w:t>8.2施肥</w:t>
      </w:r>
    </w:p>
    <w:p w14:paraId="76933514">
      <w:pPr>
        <w:adjustRightInd w:val="0"/>
        <w:snapToGrid w:val="0"/>
        <w:spacing w:line="360" w:lineRule="auto"/>
        <w:rPr>
          <w:rFonts w:ascii="Times New Roman" w:hAnsi="Times New Roman" w:eastAsia="黑体" w:cs="黑体"/>
        </w:rPr>
      </w:pPr>
      <w:r>
        <w:rPr>
          <w:rFonts w:ascii="Times New Roman" w:hAnsi="Times New Roman" w:eastAsia="黑体" w:cs="Times New Roman"/>
        </w:rPr>
        <w:t>8.2.1</w:t>
      </w:r>
      <w:r>
        <w:rPr>
          <w:rFonts w:hint="eastAsia" w:ascii="Times New Roman" w:hAnsi="Times New Roman" w:eastAsia="黑体" w:cs="黑体"/>
        </w:rPr>
        <w:t>施肥原则</w:t>
      </w:r>
    </w:p>
    <w:p w14:paraId="6B9C6E85">
      <w:pPr>
        <w:adjustRightInd w:val="0"/>
        <w:snapToGrid w:val="0"/>
        <w:spacing w:line="360" w:lineRule="auto"/>
        <w:ind w:firstLine="420" w:firstLineChars="200"/>
        <w:rPr>
          <w:rFonts w:ascii="Times New Roman" w:hAnsi="Times New Roman" w:cs="宋体"/>
        </w:rPr>
      </w:pPr>
      <w:r>
        <w:rPr>
          <w:rFonts w:hint="eastAsia" w:ascii="Times New Roman" w:hAnsi="Times New Roman" w:cs="宋体"/>
        </w:rPr>
        <w:t>肥料应以有机肥为主，无机肥为辅；根据树龄、树势、结果量、土壤肥力等科学确定施肥量和施肥期。肥料使用应符合</w:t>
      </w:r>
      <w:r>
        <w:rPr>
          <w:rFonts w:ascii="Times New Roman" w:hAnsi="Times New Roman" w:cs="Times New Roman"/>
        </w:rPr>
        <w:t>NY/T 394</w:t>
      </w:r>
      <w:r>
        <w:rPr>
          <w:rFonts w:hint="eastAsia" w:ascii="Times New Roman" w:hAnsi="Times New Roman" w:cs="宋体"/>
        </w:rPr>
        <w:t>规定。</w:t>
      </w:r>
    </w:p>
    <w:p w14:paraId="0B9E9726">
      <w:pPr>
        <w:adjustRightInd w:val="0"/>
        <w:snapToGrid w:val="0"/>
        <w:spacing w:line="360" w:lineRule="auto"/>
        <w:rPr>
          <w:rFonts w:ascii="Times New Roman" w:hAnsi="Times New Roman" w:eastAsia="黑体" w:cs="黑体"/>
        </w:rPr>
      </w:pPr>
      <w:r>
        <w:rPr>
          <w:rFonts w:ascii="Times New Roman" w:hAnsi="Times New Roman" w:eastAsia="黑体" w:cs="Times New Roman"/>
        </w:rPr>
        <w:t>8.2.2</w:t>
      </w:r>
      <w:r>
        <w:rPr>
          <w:rFonts w:hint="eastAsia" w:ascii="Times New Roman" w:hAnsi="Times New Roman" w:eastAsia="黑体" w:cs="黑体"/>
        </w:rPr>
        <w:t>施肥方法</w:t>
      </w:r>
    </w:p>
    <w:p w14:paraId="14F66059">
      <w:pPr>
        <w:adjustRightInd w:val="0"/>
        <w:snapToGrid w:val="0"/>
        <w:spacing w:line="360" w:lineRule="auto"/>
        <w:ind w:firstLine="420" w:firstLineChars="200"/>
        <w:rPr>
          <w:rFonts w:ascii="Times New Roman" w:hAnsi="Times New Roman" w:cs="宋体"/>
        </w:rPr>
      </w:pPr>
      <w:r>
        <w:rPr>
          <w:rFonts w:hint="eastAsia" w:ascii="Times New Roman" w:hAnsi="Times New Roman" w:cs="宋体"/>
        </w:rPr>
        <w:t>土壤施肥和叶面</w:t>
      </w:r>
      <w:r>
        <w:rPr>
          <w:rFonts w:ascii="Times New Roman" w:hAnsi="Times New Roman" w:cs="宋体"/>
        </w:rPr>
        <w:t>施肥</w:t>
      </w:r>
      <w:r>
        <w:rPr>
          <w:rFonts w:hint="eastAsia" w:ascii="Times New Roman" w:hAnsi="Times New Roman" w:cs="宋体"/>
        </w:rPr>
        <w:t>相结合。土壤施肥是将肥料施用在根系比较集中的地方，主要方式有环状施肥、辐射状施肥、沟状施肥、全园施肥等。</w:t>
      </w:r>
    </w:p>
    <w:p w14:paraId="172FF9B1">
      <w:pPr>
        <w:adjustRightInd w:val="0"/>
        <w:snapToGrid w:val="0"/>
        <w:spacing w:line="360" w:lineRule="auto"/>
        <w:rPr>
          <w:rFonts w:ascii="Times New Roman" w:hAnsi="Times New Roman" w:eastAsia="黑体" w:cs="黑体"/>
        </w:rPr>
      </w:pPr>
      <w:r>
        <w:rPr>
          <w:rFonts w:ascii="Times New Roman" w:hAnsi="Times New Roman" w:eastAsia="黑体" w:cs="Times New Roman"/>
        </w:rPr>
        <w:t>8.2.3</w:t>
      </w:r>
      <w:r>
        <w:rPr>
          <w:rFonts w:hint="eastAsia" w:ascii="Times New Roman" w:hAnsi="Times New Roman" w:eastAsia="黑体" w:cs="黑体"/>
        </w:rPr>
        <w:t>幼年树施肥</w:t>
      </w:r>
    </w:p>
    <w:p w14:paraId="5B02D17A">
      <w:pPr>
        <w:adjustRightInd w:val="0"/>
        <w:snapToGrid w:val="0"/>
        <w:spacing w:line="360" w:lineRule="auto"/>
        <w:ind w:firstLine="420" w:firstLineChars="200"/>
        <w:rPr>
          <w:rFonts w:ascii="Times New Roman" w:hAnsi="Times New Roman" w:cs="宋体"/>
        </w:rPr>
      </w:pPr>
      <w:r>
        <w:rPr>
          <w:rFonts w:hint="eastAsia" w:ascii="Times New Roman" w:hAnsi="Times New Roman" w:cs="宋体"/>
        </w:rPr>
        <w:t>橄榄树定植后，新梢萌芽时进行第一次施肥，新梢叶片颜色转绿时进行第二次施肥，新梢叶色变绿后进行第三次施肥。肥料以氮肥为主，辅助施用钾、磷肥，做到薄肥勤施、浅施。在雨后土壤湿润，均匀地施用在树冠下。每次单株施腐熟有机肥</w:t>
      </w:r>
      <w:r>
        <w:rPr>
          <w:rFonts w:ascii="Times New Roman" w:hAnsi="Times New Roman" w:cs="宋体"/>
        </w:rPr>
        <w:t>4 kg~5 kg</w:t>
      </w:r>
      <w:r>
        <w:rPr>
          <w:rFonts w:hint="eastAsia" w:ascii="Times New Roman" w:hAnsi="Times New Roman" w:cs="宋体"/>
        </w:rPr>
        <w:t>、复合肥（</w:t>
      </w:r>
      <w:r>
        <w:rPr>
          <w:rFonts w:ascii="Times New Roman" w:hAnsi="Times New Roman" w:cs="宋体"/>
        </w:rPr>
        <w:t>N:P:K=15:15:15</w:t>
      </w:r>
      <w:r>
        <w:rPr>
          <w:rFonts w:hint="eastAsia" w:ascii="Times New Roman" w:hAnsi="Times New Roman" w:cs="宋体"/>
        </w:rPr>
        <w:t>）0.</w:t>
      </w:r>
      <w:r>
        <w:rPr>
          <w:rFonts w:ascii="Times New Roman" w:hAnsi="Times New Roman" w:cs="宋体"/>
        </w:rPr>
        <w:t>15</w:t>
      </w:r>
      <w:r>
        <w:rPr>
          <w:rFonts w:hint="eastAsia" w:ascii="Times New Roman" w:hAnsi="Times New Roman" w:cs="宋体"/>
        </w:rPr>
        <w:t xml:space="preserve"> kg~0.</w:t>
      </w:r>
      <w:r>
        <w:rPr>
          <w:rFonts w:ascii="Times New Roman" w:hAnsi="Times New Roman" w:cs="宋体"/>
        </w:rPr>
        <w:t>25</w:t>
      </w:r>
      <w:r>
        <w:rPr>
          <w:rFonts w:hint="eastAsia" w:ascii="Times New Roman" w:hAnsi="Times New Roman" w:cs="宋体"/>
        </w:rPr>
        <w:t xml:space="preserve"> kg。</w:t>
      </w:r>
    </w:p>
    <w:p w14:paraId="1983E272">
      <w:pPr>
        <w:adjustRightInd w:val="0"/>
        <w:snapToGrid w:val="0"/>
        <w:spacing w:line="360" w:lineRule="auto"/>
        <w:rPr>
          <w:rFonts w:ascii="Times New Roman" w:hAnsi="Times New Roman" w:eastAsia="黑体" w:cs="黑体"/>
        </w:rPr>
      </w:pPr>
      <w:r>
        <w:rPr>
          <w:rFonts w:ascii="Times New Roman" w:hAnsi="Times New Roman" w:eastAsia="黑体" w:cs="Times New Roman"/>
        </w:rPr>
        <w:t>8.2.4</w:t>
      </w:r>
      <w:r>
        <w:rPr>
          <w:rFonts w:hint="eastAsia" w:ascii="Times New Roman" w:hAnsi="Times New Roman" w:eastAsia="黑体" w:cs="黑体"/>
        </w:rPr>
        <w:t>结果树施肥</w:t>
      </w:r>
    </w:p>
    <w:p w14:paraId="7733307E">
      <w:pPr>
        <w:adjustRightInd w:val="0"/>
        <w:snapToGrid w:val="0"/>
        <w:spacing w:line="360" w:lineRule="auto"/>
        <w:ind w:firstLine="420" w:firstLineChars="200"/>
        <w:rPr>
          <w:rFonts w:ascii="Times New Roman" w:hAnsi="Times New Roman" w:cs="宋体"/>
        </w:rPr>
      </w:pPr>
      <w:r>
        <w:rPr>
          <w:rFonts w:hint="eastAsia" w:ascii="Times New Roman" w:hAnsi="Times New Roman" w:cs="宋体"/>
        </w:rPr>
        <w:t>结果树施肥2次~3次/年。绿色食品加工用橄榄结果树生产推荐施肥方案参见</w:t>
      </w:r>
      <w:r>
        <w:rPr>
          <w:rFonts w:ascii="Times New Roman" w:hAnsi="Times New Roman" w:cs="宋体"/>
        </w:rPr>
        <w:t>附录A表A.1。</w:t>
      </w:r>
    </w:p>
    <w:p w14:paraId="46D850C8">
      <w:pPr>
        <w:pStyle w:val="3"/>
        <w:rPr>
          <w:rFonts w:hint="default"/>
        </w:rPr>
      </w:pPr>
      <w:r>
        <w:t>8.3水分管理</w:t>
      </w:r>
    </w:p>
    <w:p w14:paraId="0628CA8C">
      <w:pPr>
        <w:adjustRightInd w:val="0"/>
        <w:snapToGrid w:val="0"/>
        <w:spacing w:line="360" w:lineRule="auto"/>
        <w:ind w:firstLine="420" w:firstLineChars="200"/>
        <w:rPr>
          <w:rFonts w:ascii="Times New Roman" w:hAnsi="Times New Roman" w:cs="Times New Roman"/>
        </w:rPr>
      </w:pPr>
      <w:r>
        <w:rPr>
          <w:rFonts w:hint="eastAsia" w:ascii="Times New Roman" w:hAnsi="Times New Roman" w:cs="Times New Roman"/>
        </w:rPr>
        <w:t>在橄榄春梢萌动、开花期和幼果膨大期遇干旱时及时灌溉，灌溉时间应在早晨或傍晚，灌溉水质应符合NY/T391规定。雨季果园积水要及时排水。</w:t>
      </w:r>
    </w:p>
    <w:p w14:paraId="0D07B4F7">
      <w:pPr>
        <w:pStyle w:val="2"/>
        <w:rPr>
          <w:rFonts w:cs="Times New Roman"/>
        </w:rPr>
      </w:pPr>
      <w:r>
        <w:rPr>
          <w:rFonts w:cs="Times New Roman"/>
        </w:rPr>
        <w:t>9</w:t>
      </w:r>
      <w:r>
        <w:t xml:space="preserve"> </w:t>
      </w:r>
      <w:r>
        <w:rPr>
          <w:rFonts w:hint="eastAsia"/>
        </w:rPr>
        <w:t>树体管理</w:t>
      </w:r>
    </w:p>
    <w:p w14:paraId="2E1A2D30">
      <w:pPr>
        <w:pStyle w:val="3"/>
        <w:rPr>
          <w:rFonts w:hint="default"/>
        </w:rPr>
      </w:pPr>
      <w:r>
        <w:t>9.1幼树整形</w:t>
      </w:r>
    </w:p>
    <w:p w14:paraId="4E001332">
      <w:pPr>
        <w:adjustRightInd w:val="0"/>
        <w:snapToGrid w:val="0"/>
        <w:spacing w:line="360" w:lineRule="auto"/>
        <w:ind w:firstLine="420" w:firstLineChars="200"/>
        <w:rPr>
          <w:rFonts w:ascii="Times New Roman" w:hAnsi="Times New Roman" w:cs="宋体"/>
          <w:color w:val="000000" w:themeColor="text1"/>
          <w14:textFill>
            <w14:solidFill>
              <w14:schemeClr w14:val="tx1"/>
            </w14:solidFill>
          </w14:textFill>
        </w:rPr>
      </w:pPr>
      <w:r>
        <w:rPr>
          <w:rFonts w:hint="eastAsia" w:ascii="Times New Roman" w:hAnsi="Times New Roman" w:cs="宋体"/>
        </w:rPr>
        <w:t>整形适期在橄榄树幼年时</w:t>
      </w:r>
      <w:r>
        <w:rPr>
          <w:rFonts w:hint="eastAsia" w:ascii="Times New Roman" w:hAnsi="Times New Roman" w:cs="宋体"/>
          <w:color w:val="000000" w:themeColor="text1"/>
          <w14:textFill>
            <w14:solidFill>
              <w14:schemeClr w14:val="tx1"/>
            </w14:solidFill>
          </w14:textFill>
        </w:rPr>
        <w:t>期。嫁接苗定植后，待苗高</w:t>
      </w:r>
      <w:r>
        <w:rPr>
          <w:rFonts w:ascii="Times New Roman" w:hAnsi="Times New Roman" w:cs="宋体"/>
          <w:color w:val="000000" w:themeColor="text1"/>
          <w14:textFill>
            <w14:solidFill>
              <w14:schemeClr w14:val="tx1"/>
            </w14:solidFill>
          </w14:textFill>
        </w:rPr>
        <w:t xml:space="preserve">1 m~ 1.5 m </w:t>
      </w:r>
      <w:r>
        <w:rPr>
          <w:rFonts w:hint="eastAsia" w:ascii="Times New Roman" w:hAnsi="Times New Roman" w:cs="宋体"/>
          <w:color w:val="000000" w:themeColor="text1"/>
          <w14:textFill>
            <w14:solidFill>
              <w14:schemeClr w14:val="tx1"/>
            </w14:solidFill>
          </w14:textFill>
        </w:rPr>
        <w:t>时定干，定干后，靠近顶端、分布均匀、不同方向的</w:t>
      </w:r>
      <w:r>
        <w:rPr>
          <w:rFonts w:ascii="Times New Roman" w:hAnsi="Times New Roman" w:cs="宋体"/>
          <w:color w:val="000000" w:themeColor="text1"/>
          <w14:textFill>
            <w14:solidFill>
              <w14:schemeClr w14:val="tx1"/>
            </w14:solidFill>
          </w14:textFill>
        </w:rPr>
        <w:t xml:space="preserve">3 </w:t>
      </w:r>
      <w:r>
        <w:rPr>
          <w:rFonts w:hint="eastAsia" w:ascii="Times New Roman" w:hAnsi="Times New Roman" w:cs="宋体"/>
          <w:color w:val="000000" w:themeColor="text1"/>
          <w14:textFill>
            <w14:solidFill>
              <w14:schemeClr w14:val="tx1"/>
            </w14:solidFill>
          </w14:textFill>
        </w:rPr>
        <w:t>个</w:t>
      </w:r>
      <w:r>
        <w:rPr>
          <w:rFonts w:ascii="Times New Roman" w:hAnsi="Times New Roman" w:cs="宋体"/>
          <w:color w:val="000000" w:themeColor="text1"/>
          <w14:textFill>
            <w14:solidFill>
              <w14:schemeClr w14:val="tx1"/>
            </w14:solidFill>
          </w14:textFill>
        </w:rPr>
        <w:t xml:space="preserve">~4 </w:t>
      </w:r>
      <w:r>
        <w:rPr>
          <w:rFonts w:hint="eastAsia" w:ascii="Times New Roman" w:hAnsi="Times New Roman" w:cs="宋体"/>
          <w:color w:val="000000" w:themeColor="text1"/>
          <w14:textFill>
            <w14:solidFill>
              <w14:schemeClr w14:val="tx1"/>
            </w14:solidFill>
          </w14:textFill>
        </w:rPr>
        <w:t>个芽培育成主枝，其余的芽抹除，培养强壮的主枝，第二年在主枝上保留</w:t>
      </w:r>
      <w:r>
        <w:rPr>
          <w:rFonts w:ascii="Times New Roman" w:hAnsi="Times New Roman" w:cs="宋体"/>
          <w:color w:val="000000" w:themeColor="text1"/>
          <w14:textFill>
            <w14:solidFill>
              <w14:schemeClr w14:val="tx1"/>
            </w14:solidFill>
          </w14:textFill>
        </w:rPr>
        <w:t>3</w:t>
      </w:r>
      <w:r>
        <w:rPr>
          <w:rFonts w:hint="eastAsia" w:ascii="Times New Roman" w:hAnsi="Times New Roman" w:cs="宋体"/>
          <w:color w:val="000000" w:themeColor="text1"/>
          <w14:textFill>
            <w14:solidFill>
              <w14:schemeClr w14:val="tx1"/>
            </w14:solidFill>
          </w14:textFill>
        </w:rPr>
        <w:t>个左右的芽培育二级主枝，在二级主枝上培育结果枝组，使其形成早结丰产的树冠。</w:t>
      </w:r>
    </w:p>
    <w:p w14:paraId="040BC2F0">
      <w:pPr>
        <w:pStyle w:val="3"/>
        <w:rPr>
          <w:rFonts w:hint="default"/>
        </w:rPr>
      </w:pPr>
      <w:r>
        <w:t>9.2结果树修剪</w:t>
      </w:r>
    </w:p>
    <w:p w14:paraId="617212FB">
      <w:pPr>
        <w:adjustRightInd w:val="0"/>
        <w:snapToGrid w:val="0"/>
        <w:spacing w:line="360" w:lineRule="auto"/>
        <w:ind w:firstLine="420" w:firstLineChars="200"/>
      </w:pPr>
      <w:r>
        <w:rPr>
          <w:rFonts w:hint="eastAsia" w:cs="黑体" w:asciiTheme="minorEastAsia" w:hAnsiTheme="minorEastAsia" w:eastAsiaTheme="minorEastAsia"/>
        </w:rPr>
        <w:t>修剪枝条原则</w:t>
      </w:r>
      <w:r>
        <w:rPr>
          <w:rFonts w:hint="eastAsia" w:asciiTheme="minorEastAsia" w:hAnsiTheme="minorEastAsia" w:eastAsiaTheme="minorEastAsia"/>
        </w:rPr>
        <w:t>一</w:t>
      </w:r>
      <w:r>
        <w:rPr>
          <w:rFonts w:hint="eastAsia"/>
        </w:rPr>
        <w:t>般是“先剪上部枝后剪下部枝、先剪大枝条后剪小枝条、先剪内堂枝后剪外围枝”。</w:t>
      </w:r>
      <w:r>
        <w:t>结果</w:t>
      </w:r>
      <w:r>
        <w:rPr>
          <w:rFonts w:hint="eastAsia"/>
        </w:rPr>
        <w:t>树每年</w:t>
      </w:r>
      <w:r>
        <w:t>修剪</w:t>
      </w:r>
      <w:r>
        <w:rPr>
          <w:rFonts w:hint="eastAsia"/>
        </w:rPr>
        <w:t>1次</w:t>
      </w:r>
      <w:r>
        <w:t>~2</w:t>
      </w:r>
      <w:r>
        <w:rPr>
          <w:rFonts w:hint="eastAsia"/>
        </w:rPr>
        <w:t>次</w:t>
      </w:r>
      <w:r>
        <w:t>，</w:t>
      </w:r>
      <w:r>
        <w:rPr>
          <w:rFonts w:hint="eastAsia"/>
        </w:rPr>
        <w:t>第一次在采果前后，对过长的营养枝留8片~10片叶，回缩或短截结果后枝组，适当保留内膛枝和下垂背光枝；</w:t>
      </w:r>
      <w:r>
        <w:t>第二次</w:t>
      </w:r>
      <w:r>
        <w:rPr>
          <w:rFonts w:hint="eastAsia"/>
        </w:rPr>
        <w:t>在</w:t>
      </w:r>
      <w:r>
        <w:t>花芽生理分化</w:t>
      </w:r>
      <w:r>
        <w:rPr>
          <w:rFonts w:hint="eastAsia"/>
        </w:rPr>
        <w:t>期</w:t>
      </w:r>
      <w:r>
        <w:t>前，</w:t>
      </w:r>
      <w:r>
        <w:rPr>
          <w:rFonts w:hint="eastAsia"/>
        </w:rPr>
        <w:t>剪除衰老枝、过密枝、病虫枝等，疏剪开出“天窗”，改善通风透光，增加光合作用。</w:t>
      </w:r>
    </w:p>
    <w:p w14:paraId="6704C502">
      <w:pPr>
        <w:pStyle w:val="3"/>
        <w:rPr>
          <w:rFonts w:hint="default"/>
        </w:rPr>
      </w:pPr>
      <w:r>
        <w:t xml:space="preserve">9.3 </w:t>
      </w:r>
      <w:r>
        <w:rPr>
          <w:rFonts w:cs="黑体"/>
        </w:rPr>
        <w:t>花果调控</w:t>
      </w:r>
    </w:p>
    <w:p w14:paraId="77A708E0">
      <w:pPr>
        <w:adjustRightInd w:val="0"/>
        <w:snapToGrid w:val="0"/>
        <w:spacing w:line="360" w:lineRule="auto"/>
        <w:ind w:firstLine="420" w:firstLineChars="200"/>
        <w:rPr>
          <w:rFonts w:ascii="Times New Roman" w:hAnsi="Times New Roman" w:cs="宋体"/>
          <w:color w:val="FF0000"/>
        </w:rPr>
      </w:pPr>
      <w:r>
        <w:rPr>
          <w:rFonts w:hint="eastAsia" w:ascii="Times New Roman" w:hAnsi="Times New Roman" w:cs="宋体"/>
        </w:rPr>
        <w:t>对生长过旺盛的果树，可采用环割环扎、控水等措施促花。在花蕾盛开前、谢花凋萎期和幼果成长期适当喷施</w:t>
      </w:r>
      <w:r>
        <w:rPr>
          <w:rFonts w:ascii="Times New Roman" w:hAnsi="Times New Roman" w:cs="宋体"/>
        </w:rPr>
        <w:t>0.3 %</w:t>
      </w:r>
      <w:r>
        <w:rPr>
          <w:rFonts w:hint="eastAsia" w:ascii="Times New Roman" w:hAnsi="Times New Roman" w:cs="宋体"/>
        </w:rPr>
        <w:t>尿素、</w:t>
      </w:r>
      <w:r>
        <w:rPr>
          <w:rFonts w:ascii="Times New Roman" w:hAnsi="Times New Roman" w:cs="宋体"/>
        </w:rPr>
        <w:t>0.2 %</w:t>
      </w:r>
      <w:r>
        <w:rPr>
          <w:rFonts w:hint="eastAsia" w:ascii="Times New Roman" w:hAnsi="Times New Roman" w:cs="宋体"/>
        </w:rPr>
        <w:t>硼肥和</w:t>
      </w:r>
      <w:r>
        <w:rPr>
          <w:rFonts w:ascii="Times New Roman" w:hAnsi="Times New Roman" w:cs="宋体"/>
        </w:rPr>
        <w:t>0.2 %</w:t>
      </w:r>
      <w:r>
        <w:rPr>
          <w:rFonts w:hint="eastAsia" w:ascii="Times New Roman" w:hAnsi="Times New Roman" w:cs="宋体"/>
        </w:rPr>
        <w:t>磷酸二氢钾肥，健壮花穗，提高坐果率；在谢花期和幼果期施用可减少落果和果实病害。</w:t>
      </w:r>
    </w:p>
    <w:p w14:paraId="6FE0339A">
      <w:pPr>
        <w:pStyle w:val="2"/>
        <w:rPr>
          <w:rFonts w:cs="Times New Roman"/>
        </w:rPr>
      </w:pPr>
      <w:r>
        <w:rPr>
          <w:rFonts w:cs="Times New Roman"/>
        </w:rPr>
        <w:t xml:space="preserve">10 </w:t>
      </w:r>
      <w:r>
        <w:rPr>
          <w:rFonts w:hint="eastAsia"/>
        </w:rPr>
        <w:t>病虫害防治</w:t>
      </w:r>
    </w:p>
    <w:p w14:paraId="105A62B9">
      <w:pPr>
        <w:pStyle w:val="3"/>
        <w:rPr>
          <w:rFonts w:hint="default"/>
        </w:rPr>
      </w:pPr>
      <w:r>
        <w:t>10.1</w:t>
      </w:r>
      <w:r>
        <w:rPr>
          <w:rFonts w:cs="黑体"/>
        </w:rPr>
        <w:t>防治原则</w:t>
      </w:r>
    </w:p>
    <w:p w14:paraId="1D32159D">
      <w:pPr>
        <w:adjustRightInd w:val="0"/>
        <w:snapToGrid w:val="0"/>
        <w:spacing w:line="360" w:lineRule="auto"/>
        <w:ind w:firstLine="420" w:firstLineChars="200"/>
        <w:rPr>
          <w:rFonts w:ascii="Times New Roman" w:hAnsi="Times New Roman" w:cs="宋体"/>
        </w:rPr>
      </w:pPr>
      <w:r>
        <w:rPr>
          <w:rFonts w:hint="eastAsia" w:ascii="Times New Roman" w:hAnsi="Times New Roman" w:cs="宋体"/>
        </w:rPr>
        <w:t>按照“预防为主、综合防治”的植保方针，在做好或苗木检疫和病虫害田间监测的基础上，针对橄榄不同生育期主要病虫害发生特点，优先采用农业措施、物理防治、生物防治，辅之以科学合理的化学防治的绿色防控技术，实现橄榄病虫害绿色防控和优质安全生产。。</w:t>
      </w:r>
    </w:p>
    <w:p w14:paraId="29187326">
      <w:pPr>
        <w:pStyle w:val="3"/>
        <w:rPr>
          <w:rFonts w:hint="default"/>
        </w:rPr>
      </w:pPr>
      <w:r>
        <w:t>10.2</w:t>
      </w:r>
      <w:r>
        <w:rPr>
          <w:rFonts w:cs="黑体"/>
        </w:rPr>
        <w:t>常见病虫害</w:t>
      </w:r>
    </w:p>
    <w:p w14:paraId="7F0421E4">
      <w:pPr>
        <w:adjustRightInd w:val="0"/>
        <w:snapToGrid w:val="0"/>
        <w:spacing w:line="360" w:lineRule="auto"/>
        <w:ind w:firstLine="420" w:firstLineChars="200"/>
        <w:rPr>
          <w:rFonts w:ascii="Times New Roman" w:hAnsi="Times New Roman" w:cs="宋体"/>
        </w:rPr>
      </w:pPr>
      <w:r>
        <w:rPr>
          <w:rFonts w:hint="eastAsia" w:ascii="Times New Roman" w:hAnsi="Times New Roman" w:cs="宋体"/>
        </w:rPr>
        <w:t>主要病害有叶斑病、煤烟病、炭疽病、藻斑病、流胶病、灰斑病等。</w:t>
      </w:r>
    </w:p>
    <w:p w14:paraId="4D4D9FE7">
      <w:pPr>
        <w:adjustRightInd w:val="0"/>
        <w:snapToGrid w:val="0"/>
        <w:spacing w:line="360" w:lineRule="auto"/>
        <w:ind w:firstLine="420" w:firstLineChars="200"/>
      </w:pPr>
      <w:r>
        <w:rPr>
          <w:rFonts w:hint="eastAsia" w:ascii="Times New Roman" w:hAnsi="Times New Roman" w:cs="宋体"/>
        </w:rPr>
        <w:t>主要虫害有星室木虱、小黄卷叶蛾、枯叶蛾、皮细蛾、星天牛、锄须丛螟、野螟、漆蓝卷象、小直缘跳甲、金龟子、白蚁等。</w:t>
      </w:r>
    </w:p>
    <w:p w14:paraId="062133FE">
      <w:pPr>
        <w:pStyle w:val="3"/>
        <w:rPr>
          <w:rFonts w:hint="default"/>
        </w:rPr>
      </w:pPr>
      <w:r>
        <w:rPr>
          <w:rFonts w:cs="宋体"/>
        </w:rPr>
        <w:t>10</w:t>
      </w:r>
      <w:r>
        <w:t>.3防治措施</w:t>
      </w:r>
    </w:p>
    <w:p w14:paraId="41C4ED68">
      <w:pPr>
        <w:adjustRightInd w:val="0"/>
        <w:snapToGrid w:val="0"/>
        <w:spacing w:line="360" w:lineRule="auto"/>
        <w:rPr>
          <w:rFonts w:ascii="Times New Roman" w:hAnsi="Times New Roman" w:eastAsia="黑体" w:cs="黑体"/>
        </w:rPr>
      </w:pPr>
      <w:r>
        <w:rPr>
          <w:rFonts w:ascii="Times New Roman" w:hAnsi="Times New Roman" w:cs="Times New Roman"/>
        </w:rPr>
        <w:t>10.3.1</w:t>
      </w:r>
      <w:r>
        <w:rPr>
          <w:rFonts w:hint="eastAsia" w:ascii="Times New Roman" w:hAnsi="Times New Roman" w:eastAsia="黑体" w:cs="黑体"/>
        </w:rPr>
        <w:t>农业防治</w:t>
      </w:r>
    </w:p>
    <w:p w14:paraId="74CE067F">
      <w:pPr>
        <w:adjustRightInd w:val="0"/>
        <w:snapToGrid w:val="0"/>
        <w:spacing w:line="360" w:lineRule="auto"/>
        <w:ind w:firstLine="420" w:firstLineChars="200"/>
        <w:rPr>
          <w:rFonts w:ascii="Times New Roman" w:hAnsi="Times New Roman" w:cs="宋体"/>
        </w:rPr>
      </w:pPr>
      <w:r>
        <w:rPr>
          <w:rFonts w:hint="eastAsia" w:ascii="Times New Roman" w:hAnsi="Times New Roman" w:cs="宋体"/>
        </w:rPr>
        <w:t>加强橄榄树体管理，抓好新梢期、开花前和冬季清园的病虫害防治。刮除藻斑病和流胶病的病斑；用铁丝钩木屑状星天牛虫粪；浅耕松土，破坏漆蓝卷象土室；摘除野螟、小直缘跳甲的虫巢等。</w:t>
      </w:r>
    </w:p>
    <w:p w14:paraId="424A9BC1">
      <w:pPr>
        <w:adjustRightInd w:val="0"/>
        <w:snapToGrid w:val="0"/>
        <w:spacing w:line="360" w:lineRule="auto"/>
        <w:rPr>
          <w:rFonts w:ascii="Times New Roman" w:hAnsi="Times New Roman" w:eastAsia="黑体" w:cs="Times New Roman"/>
        </w:rPr>
      </w:pPr>
      <w:r>
        <w:rPr>
          <w:rFonts w:ascii="Times New Roman" w:hAnsi="Times New Roman" w:cs="Times New Roman"/>
        </w:rPr>
        <w:t>10.3.2</w:t>
      </w:r>
      <w:r>
        <w:rPr>
          <w:rFonts w:hint="eastAsia" w:ascii="Times New Roman" w:hAnsi="Times New Roman" w:eastAsia="黑体" w:cs="黑体"/>
        </w:rPr>
        <w:t>物理防治</w:t>
      </w:r>
    </w:p>
    <w:p w14:paraId="04166F5B">
      <w:pPr>
        <w:adjustRightInd w:val="0"/>
        <w:snapToGrid w:val="0"/>
        <w:spacing w:line="360" w:lineRule="auto"/>
        <w:ind w:firstLine="420" w:firstLineChars="200"/>
        <w:rPr>
          <w:rFonts w:ascii="Times New Roman" w:hAnsi="Times New Roman" w:cs="宋体"/>
        </w:rPr>
      </w:pPr>
      <w:r>
        <w:rPr>
          <w:rFonts w:hint="eastAsia" w:ascii="Times New Roman" w:hAnsi="Times New Roman" w:cs="宋体"/>
        </w:rPr>
        <w:t>依照害虫具有趋光性和避光性的特征，应用杀虫灯和色板诱杀害虫，如杀虫灯诱杀锄须丛螟、野螟、天牛、吸果夜蛾、小黄卷叶娥、金龟子等。悬挂黄色粘虫板诱杀具有显著趋嫩性的星室木虱、黑刺粉虱等。用新鲜松木、甘蔗或沾有糖醋液的木材诱杀白蚁等。</w:t>
      </w:r>
    </w:p>
    <w:p w14:paraId="40690006">
      <w:pPr>
        <w:adjustRightInd w:val="0"/>
        <w:snapToGrid w:val="0"/>
        <w:spacing w:line="360" w:lineRule="auto"/>
        <w:rPr>
          <w:rFonts w:ascii="Times New Roman" w:hAnsi="Times New Roman" w:eastAsia="黑体" w:cs="Times New Roman"/>
        </w:rPr>
      </w:pPr>
      <w:r>
        <w:rPr>
          <w:rFonts w:ascii="Times New Roman" w:hAnsi="Times New Roman" w:cs="Times New Roman"/>
        </w:rPr>
        <w:t>10.3.3</w:t>
      </w:r>
      <w:r>
        <w:rPr>
          <w:rFonts w:hint="eastAsia" w:ascii="Times New Roman" w:hAnsi="Times New Roman" w:eastAsia="黑体" w:cs="黑体"/>
        </w:rPr>
        <w:t>生物防治</w:t>
      </w:r>
    </w:p>
    <w:p w14:paraId="7504B625">
      <w:pPr>
        <w:adjustRightInd w:val="0"/>
        <w:snapToGrid w:val="0"/>
        <w:spacing w:line="360" w:lineRule="auto"/>
        <w:ind w:firstLine="420" w:firstLineChars="200"/>
        <w:rPr>
          <w:rFonts w:ascii="Times New Roman" w:hAnsi="Times New Roman" w:cs="宋体"/>
        </w:rPr>
      </w:pPr>
      <w:r>
        <w:rPr>
          <w:rFonts w:hint="eastAsia" w:ascii="Times New Roman" w:hAnsi="Times New Roman" w:cs="宋体"/>
        </w:rPr>
        <w:t>保护利用天敌，园区控制一定量的绿草覆盖，树头覆盖稻草，保护生物多样性，维护园区生态平衡。利用七星瓢虫、蜘蛛、草蛉、黄斑盘虫、寄生蜂等天敌防治星室木虱、锄须丛螟、皮细蛾等；利用性外信息素，诱杀吹绵蚧及蛾类害虫。</w:t>
      </w:r>
    </w:p>
    <w:p w14:paraId="7B00A5B0">
      <w:pPr>
        <w:adjustRightInd w:val="0"/>
        <w:snapToGrid w:val="0"/>
        <w:spacing w:line="360" w:lineRule="auto"/>
        <w:rPr>
          <w:rFonts w:ascii="Times New Roman" w:hAnsi="Times New Roman" w:eastAsia="黑体" w:cs="黑体"/>
        </w:rPr>
      </w:pPr>
      <w:r>
        <w:rPr>
          <w:rFonts w:ascii="Times New Roman" w:hAnsi="Times New Roman" w:cs="Times New Roman"/>
        </w:rPr>
        <w:t xml:space="preserve">10.3.4 </w:t>
      </w:r>
      <w:r>
        <w:rPr>
          <w:rFonts w:hint="eastAsia" w:ascii="Times New Roman" w:hAnsi="Times New Roman" w:eastAsia="黑体" w:cs="黑体"/>
        </w:rPr>
        <w:t>化学防治</w:t>
      </w:r>
    </w:p>
    <w:p w14:paraId="6BDEE051">
      <w:pPr>
        <w:adjustRightInd w:val="0"/>
        <w:snapToGrid w:val="0"/>
        <w:spacing w:line="360" w:lineRule="auto"/>
        <w:ind w:firstLine="420" w:firstLineChars="200"/>
        <w:rPr>
          <w:rFonts w:ascii="Times New Roman" w:hAnsi="Times New Roman" w:cs="Times New Roman"/>
        </w:rPr>
      </w:pPr>
      <w:r>
        <w:rPr>
          <w:rFonts w:hint="eastAsia" w:ascii="Times New Roman"/>
        </w:rPr>
        <w:t>提倡交替使用不同种类的农药，减少抗药性的产生。选用高效、低毒、低残留的农药，严格规范农药使用的浓度、次数和农药使用安全间隔期，农药使用应符合NY/T 393的要求。绿色食品加工用橄榄</w:t>
      </w:r>
      <w:r>
        <w:rPr>
          <w:rFonts w:hint="eastAsia"/>
        </w:rPr>
        <w:t>主要病虫害防治推荐农药使用方案参见附录</w:t>
      </w:r>
      <w:r>
        <w:t>B</w:t>
      </w:r>
      <w:r>
        <w:rPr>
          <w:rFonts w:hint="eastAsia" w:ascii="Times New Roman"/>
        </w:rPr>
        <w:t>表</w:t>
      </w:r>
      <w:r>
        <w:rPr>
          <w:rFonts w:ascii="Times New Roman" w:cs="Times New Roman"/>
        </w:rPr>
        <w:t>B.1</w:t>
      </w:r>
      <w:r>
        <w:rPr>
          <w:rFonts w:hint="eastAsia"/>
        </w:rPr>
        <w:t>。</w:t>
      </w:r>
    </w:p>
    <w:p w14:paraId="022174D9">
      <w:pPr>
        <w:pStyle w:val="2"/>
      </w:pPr>
      <w:r>
        <w:rPr>
          <w:rFonts w:cs="Times New Roman"/>
        </w:rPr>
        <w:t>11</w:t>
      </w:r>
      <w:r>
        <w:t xml:space="preserve"> </w:t>
      </w:r>
      <w:r>
        <w:rPr>
          <w:rFonts w:hint="eastAsia"/>
        </w:rPr>
        <w:t>采收包装</w:t>
      </w:r>
    </w:p>
    <w:p w14:paraId="0DFF27EB">
      <w:pPr>
        <w:adjustRightInd w:val="0"/>
        <w:snapToGrid w:val="0"/>
        <w:spacing w:line="360" w:lineRule="auto"/>
        <w:ind w:firstLine="315" w:firstLineChars="150"/>
        <w:rPr>
          <w:rFonts w:ascii="Times New Roman" w:hAnsi="Times New Roman" w:cs="Times New Roman"/>
        </w:rPr>
      </w:pPr>
      <w:r>
        <w:rPr>
          <w:rFonts w:hint="eastAsia" w:ascii="Times New Roman" w:hAnsi="Times New Roman" w:cs="宋体"/>
        </w:rPr>
        <w:t>加工用橄榄一般在</w:t>
      </w:r>
      <w:r>
        <w:rPr>
          <w:rFonts w:ascii="Times New Roman" w:hAnsi="Times New Roman" w:cs="宋体"/>
        </w:rPr>
        <w:t xml:space="preserve">8 </w:t>
      </w:r>
      <w:r>
        <w:rPr>
          <w:rFonts w:hint="eastAsia" w:ascii="Times New Roman" w:hAnsi="Times New Roman" w:cs="宋体"/>
        </w:rPr>
        <w:t>月份</w:t>
      </w:r>
      <w:r>
        <w:rPr>
          <w:rFonts w:ascii="Times New Roman" w:hAnsi="Times New Roman" w:cs="Times New Roman"/>
        </w:rPr>
        <w:t xml:space="preserve">~12 </w:t>
      </w:r>
      <w:r>
        <w:rPr>
          <w:rFonts w:hint="eastAsia" w:ascii="Times New Roman" w:hAnsi="Times New Roman" w:cs="Times New Roman"/>
        </w:rPr>
        <w:t>月份</w:t>
      </w:r>
      <w:r>
        <w:rPr>
          <w:rFonts w:hint="eastAsia" w:ascii="Times New Roman" w:hAnsi="Times New Roman" w:cs="宋体"/>
        </w:rPr>
        <w:t>采收</w:t>
      </w:r>
      <w:r>
        <w:rPr>
          <w:rFonts w:hint="eastAsia" w:ascii="Times New Roman" w:hAnsi="Times New Roman" w:cs="Times New Roman"/>
        </w:rPr>
        <w:t>，可用竹竿敲打或震动方式采摘。橄榄鲜果质量应符合</w:t>
      </w:r>
      <w:r>
        <w:rPr>
          <w:rFonts w:ascii="Times New Roman" w:hAnsi="Times New Roman" w:cs="Times New Roman"/>
        </w:rPr>
        <w:t>NY/T 750</w:t>
      </w:r>
      <w:r>
        <w:rPr>
          <w:rFonts w:hint="eastAsia" w:ascii="Times New Roman" w:hAnsi="Times New Roman" w:cs="Times New Roman"/>
        </w:rPr>
        <w:t>的规定。</w:t>
      </w:r>
      <w:r>
        <w:rPr>
          <w:rFonts w:hint="eastAsia" w:ascii="Times New Roman" w:hAnsi="Times New Roman" w:cs="宋体"/>
        </w:rPr>
        <w:t>按照不同品种等级规格进行分级、包装。包装应符合</w:t>
      </w:r>
      <w:r>
        <w:rPr>
          <w:rFonts w:ascii="Times New Roman" w:hAnsi="Times New Roman" w:cs="宋体"/>
        </w:rPr>
        <w:t>NY/T 658</w:t>
      </w:r>
      <w:r>
        <w:rPr>
          <w:rFonts w:hint="eastAsia" w:ascii="Times New Roman" w:hAnsi="Times New Roman" w:cs="宋体"/>
        </w:rPr>
        <w:t>的规定。</w:t>
      </w:r>
    </w:p>
    <w:p w14:paraId="569868A8">
      <w:pPr>
        <w:pStyle w:val="2"/>
      </w:pPr>
      <w:r>
        <w:t xml:space="preserve">12 </w:t>
      </w:r>
      <w:r>
        <w:rPr>
          <w:rFonts w:hint="eastAsia" w:cs="黑体"/>
        </w:rPr>
        <w:t>储藏运输</w:t>
      </w:r>
    </w:p>
    <w:p w14:paraId="70567416">
      <w:pPr>
        <w:adjustRightInd w:val="0"/>
        <w:snapToGrid w:val="0"/>
        <w:spacing w:line="360" w:lineRule="auto"/>
        <w:ind w:firstLine="420" w:firstLineChars="200"/>
      </w:pPr>
      <w:r>
        <w:rPr>
          <w:rFonts w:hint="eastAsia" w:ascii="Times New Roman" w:hAnsi="Times New Roman" w:cs="宋体"/>
        </w:rPr>
        <w:t>果实的储藏温度为</w:t>
      </w:r>
      <w:r>
        <w:rPr>
          <w:rFonts w:ascii="Times New Roman" w:hAnsi="Times New Roman" w:cs="宋体"/>
        </w:rPr>
        <w:t xml:space="preserve">8 </w:t>
      </w:r>
      <w:r>
        <w:rPr>
          <w:rFonts w:hint="eastAsia" w:ascii="Times New Roman" w:hAnsi="Times New Roman" w:cs="宋体"/>
        </w:rPr>
        <w:t>℃</w:t>
      </w:r>
      <w:r>
        <w:rPr>
          <w:rFonts w:ascii="Times New Roman" w:hAnsi="Times New Roman" w:cs="宋体"/>
        </w:rPr>
        <w:t xml:space="preserve">~10 </w:t>
      </w:r>
      <w:r>
        <w:rPr>
          <w:rFonts w:hint="eastAsia" w:ascii="Times New Roman" w:hAnsi="Times New Roman" w:cs="宋体"/>
        </w:rPr>
        <w:t>℃，相对湿度</w:t>
      </w:r>
      <w:r>
        <w:rPr>
          <w:rFonts w:ascii="Times New Roman" w:hAnsi="Times New Roman" w:cs="宋体"/>
        </w:rPr>
        <w:t>90 %~95 %</w:t>
      </w:r>
      <w:r>
        <w:rPr>
          <w:rFonts w:hint="eastAsia" w:ascii="Times New Roman" w:hAnsi="Times New Roman" w:cs="宋体"/>
        </w:rPr>
        <w:t>。储藏运输应符合</w:t>
      </w:r>
      <w:r>
        <w:rPr>
          <w:rFonts w:ascii="Times New Roman" w:hAnsi="Times New Roman" w:cs="Times New Roman"/>
        </w:rPr>
        <w:t>NY/T 1056</w:t>
      </w:r>
      <w:r>
        <w:rPr>
          <w:rFonts w:hint="eastAsia" w:ascii="Times New Roman" w:hAnsi="Times New Roman" w:cs="宋体"/>
        </w:rPr>
        <w:t>的规定，运输满足轻装轻运、快装快运、装放整齐的基本要求。</w:t>
      </w:r>
      <w:r>
        <w:rPr>
          <w:rFonts w:hint="eastAsia"/>
        </w:rPr>
        <w:t>根据加工产品的</w:t>
      </w:r>
      <w:r>
        <w:t>需要</w:t>
      </w:r>
      <w:r>
        <w:rPr>
          <w:rFonts w:hint="eastAsia"/>
        </w:rPr>
        <w:t>，可采用冷冻贮藏。</w:t>
      </w:r>
    </w:p>
    <w:p w14:paraId="14974255">
      <w:pPr>
        <w:pStyle w:val="2"/>
        <w:rPr>
          <w:rFonts w:cs="Times New Roman"/>
        </w:rPr>
      </w:pPr>
      <w:r>
        <w:rPr>
          <w:rFonts w:cs="Times New Roman"/>
        </w:rPr>
        <w:t xml:space="preserve">13 </w:t>
      </w:r>
      <w:r>
        <w:rPr>
          <w:rFonts w:hint="eastAsia"/>
        </w:rPr>
        <w:t>生产废弃物的处理</w:t>
      </w:r>
    </w:p>
    <w:p w14:paraId="2B9F226B">
      <w:pPr>
        <w:adjustRightInd w:val="0"/>
        <w:snapToGrid w:val="0"/>
        <w:spacing w:line="360" w:lineRule="auto"/>
        <w:ind w:firstLine="420" w:firstLineChars="200"/>
        <w:rPr>
          <w:rFonts w:ascii="宋体" w:hAnsi="宋体" w:cs="宋体"/>
        </w:rPr>
      </w:pPr>
      <w:r>
        <w:rPr>
          <w:rFonts w:hint="eastAsia" w:ascii="宋体" w:hAnsi="宋体" w:cs="宋体"/>
        </w:rPr>
        <w:t>果园中的落叶落果和修剪下的枝条应及时收集利用或集中无害化处理</w:t>
      </w:r>
      <w:bookmarkStart w:id="0" w:name="_Toc501463960"/>
      <w:r>
        <w:rPr>
          <w:rFonts w:hint="eastAsia" w:ascii="宋体" w:hAnsi="宋体" w:cs="宋体"/>
        </w:rPr>
        <w:t>；及时</w:t>
      </w:r>
      <w:r>
        <w:rPr>
          <w:rFonts w:ascii="宋体" w:hAnsi="宋体" w:cs="宋体"/>
        </w:rPr>
        <w:t>集中</w:t>
      </w:r>
      <w:r>
        <w:rPr>
          <w:rFonts w:hint="eastAsia" w:ascii="宋体" w:hAnsi="宋体" w:cs="宋体"/>
        </w:rPr>
        <w:t>收置和</w:t>
      </w:r>
      <w:r>
        <w:rPr>
          <w:rFonts w:ascii="宋体" w:hAnsi="宋体" w:cs="宋体"/>
        </w:rPr>
        <w:t>统一处理</w:t>
      </w:r>
      <w:r>
        <w:rPr>
          <w:rFonts w:hint="eastAsia" w:ascii="宋体" w:hAnsi="宋体" w:cs="宋体"/>
        </w:rPr>
        <w:t>农药肥料包装物、</w:t>
      </w:r>
      <w:r>
        <w:rPr>
          <w:rFonts w:ascii="宋体" w:hAnsi="宋体" w:cs="宋体"/>
        </w:rPr>
        <w:t>生活垃圾</w:t>
      </w:r>
      <w:r>
        <w:rPr>
          <w:rFonts w:hint="eastAsia" w:ascii="宋体" w:hAnsi="宋体" w:cs="宋体"/>
        </w:rPr>
        <w:t>等废弃物</w:t>
      </w:r>
      <w:r>
        <w:rPr>
          <w:rFonts w:ascii="宋体" w:hAnsi="宋体" w:cs="宋体"/>
        </w:rPr>
        <w:t>。</w:t>
      </w:r>
    </w:p>
    <w:bookmarkEnd w:id="0"/>
    <w:p w14:paraId="17175959">
      <w:pPr>
        <w:pStyle w:val="2"/>
        <w:rPr>
          <w:rFonts w:cs="Times New Roman"/>
        </w:rPr>
      </w:pPr>
      <w:r>
        <w:rPr>
          <w:rFonts w:cs="Times New Roman"/>
        </w:rPr>
        <w:t xml:space="preserve">14 </w:t>
      </w:r>
      <w:r>
        <w:rPr>
          <w:rFonts w:hint="eastAsia"/>
        </w:rPr>
        <w:t>生产档案管理</w:t>
      </w:r>
    </w:p>
    <w:p w14:paraId="59421815">
      <w:pPr>
        <w:adjustRightInd w:val="0"/>
        <w:snapToGrid w:val="0"/>
        <w:spacing w:line="360" w:lineRule="auto"/>
        <w:ind w:firstLine="420" w:firstLineChars="200"/>
        <w:rPr>
          <w:rFonts w:ascii="Times New Roman" w:hAnsi="Times New Roman" w:cs="Times New Roman"/>
        </w:rPr>
      </w:pPr>
      <w:r>
        <w:rPr>
          <w:rFonts w:hint="eastAsia" w:ascii="Times New Roman" w:hAnsi="Times New Roman" w:cs="宋体"/>
        </w:rPr>
        <w:t>建立生产记录的档案，便于实现可追溯。记录内容主要包括以肥水管理、花果管理、病虫害的发生和防治、采收及采后处理等记录，以及产品销售后的申、投诉记录等，记录保存</w:t>
      </w:r>
      <w:r>
        <w:rPr>
          <w:rFonts w:ascii="Times New Roman" w:hAnsi="Times New Roman" w:cs="宋体"/>
        </w:rPr>
        <w:t xml:space="preserve">3 </w:t>
      </w:r>
      <w:r>
        <w:rPr>
          <w:rFonts w:hint="eastAsia" w:ascii="Times New Roman" w:hAnsi="Times New Roman" w:cs="宋体"/>
        </w:rPr>
        <w:t>年以上。</w:t>
      </w:r>
    </w:p>
    <w:p w14:paraId="66B20826">
      <w:pPr>
        <w:widowControl/>
        <w:jc w:val="left"/>
        <w:rPr>
          <w:rFonts w:ascii="Times New Roman" w:hAnsi="Times New Roman" w:cs="Times New Roman"/>
        </w:rPr>
      </w:pPr>
      <w:r>
        <w:rPr>
          <w:rFonts w:ascii="Times New Roman" w:hAnsi="Times New Roman" w:cs="Times New Roman"/>
        </w:rPr>
        <w:br w:type="page"/>
      </w:r>
    </w:p>
    <w:p w14:paraId="7DC59B57">
      <w:pPr>
        <w:pStyle w:val="2"/>
        <w:jc w:val="center"/>
      </w:pPr>
      <w:r>
        <w:rPr>
          <w:rFonts w:hint="eastAsia"/>
        </w:rPr>
        <w:t>附录</w:t>
      </w:r>
      <w:r>
        <w:t>A</w:t>
      </w:r>
    </w:p>
    <w:p w14:paraId="1D76A612">
      <w:pPr>
        <w:jc w:val="center"/>
        <w:rPr>
          <w:rFonts w:ascii="黑体" w:eastAsia="黑体" w:cs="Times New Roman"/>
        </w:rPr>
      </w:pPr>
      <w:r>
        <w:rPr>
          <w:rFonts w:hint="eastAsia" w:ascii="黑体" w:eastAsia="黑体" w:cs="黑体"/>
        </w:rPr>
        <w:t>（资料性附录）</w:t>
      </w:r>
    </w:p>
    <w:p w14:paraId="424CC128">
      <w:pPr>
        <w:tabs>
          <w:tab w:val="left" w:pos="525"/>
        </w:tabs>
        <w:ind w:right="85"/>
        <w:jc w:val="center"/>
        <w:rPr>
          <w:rFonts w:ascii="黑体" w:eastAsia="黑体" w:cs="黑体"/>
        </w:rPr>
      </w:pPr>
      <w:r>
        <w:rPr>
          <w:rFonts w:hint="eastAsia" w:ascii="Times New Roman" w:hAnsi="Times New Roman" w:eastAsia="黑体" w:cs="黑体"/>
          <w:kern w:val="0"/>
        </w:rPr>
        <w:t>绿色食品加工用橄榄结果树推荐</w:t>
      </w:r>
      <w:r>
        <w:rPr>
          <w:rFonts w:hint="eastAsia" w:ascii="黑体" w:eastAsia="黑体" w:cs="黑体"/>
        </w:rPr>
        <w:t>施肥方案</w:t>
      </w:r>
    </w:p>
    <w:p w14:paraId="08627A10">
      <w:pPr>
        <w:tabs>
          <w:tab w:val="left" w:pos="525"/>
        </w:tabs>
        <w:ind w:right="85"/>
        <w:jc w:val="center"/>
        <w:rPr>
          <w:rFonts w:ascii="黑体" w:eastAsia="黑体" w:cs="黑体"/>
        </w:rPr>
      </w:pPr>
    </w:p>
    <w:p w14:paraId="377C21E6">
      <w:pPr>
        <w:tabs>
          <w:tab w:val="left" w:pos="525"/>
        </w:tabs>
        <w:ind w:right="85"/>
        <w:jc w:val="center"/>
        <w:rPr>
          <w:rFonts w:ascii="黑体" w:eastAsia="黑体" w:cs="Times New Roman"/>
        </w:rPr>
      </w:pPr>
    </w:p>
    <w:p w14:paraId="388EE3DA">
      <w:pPr>
        <w:tabs>
          <w:tab w:val="left" w:pos="525"/>
        </w:tabs>
        <w:ind w:right="85" w:firstLine="420" w:firstLineChars="200"/>
        <w:jc w:val="left"/>
        <w:rPr>
          <w:rFonts w:cs="黑体" w:asciiTheme="minorEastAsia" w:hAnsiTheme="minorEastAsia" w:eastAsiaTheme="minorEastAsia"/>
          <w:kern w:val="0"/>
        </w:rPr>
      </w:pPr>
      <w:r>
        <w:rPr>
          <w:rFonts w:hint="eastAsia" w:cs="黑体" w:asciiTheme="minorEastAsia" w:hAnsiTheme="minorEastAsia" w:eastAsiaTheme="minorEastAsia"/>
          <w:kern w:val="0"/>
        </w:rPr>
        <w:t>绿色食品加工用橄榄结果树推荐</w:t>
      </w:r>
      <w:r>
        <w:rPr>
          <w:rFonts w:hint="eastAsia" w:cs="黑体" w:asciiTheme="minorEastAsia" w:hAnsiTheme="minorEastAsia" w:eastAsiaTheme="minorEastAsia"/>
        </w:rPr>
        <w:t>施肥方案见</w:t>
      </w:r>
      <w:r>
        <w:rPr>
          <w:rFonts w:hint="eastAsia" w:cs="黑体" w:asciiTheme="minorEastAsia" w:hAnsiTheme="minorEastAsia" w:eastAsiaTheme="minorEastAsia"/>
          <w:kern w:val="0"/>
        </w:rPr>
        <w:t>表</w:t>
      </w:r>
      <w:r>
        <w:rPr>
          <w:rFonts w:cs="黑体" w:asciiTheme="minorEastAsia" w:hAnsiTheme="minorEastAsia" w:eastAsiaTheme="minorEastAsia"/>
          <w:kern w:val="0"/>
        </w:rPr>
        <w:t>A.1</w:t>
      </w:r>
      <w:r>
        <w:rPr>
          <w:rFonts w:hint="eastAsia" w:cs="黑体" w:asciiTheme="minorEastAsia" w:hAnsiTheme="minorEastAsia" w:eastAsiaTheme="minorEastAsia"/>
          <w:kern w:val="0"/>
        </w:rPr>
        <w:t>。</w:t>
      </w:r>
    </w:p>
    <w:p w14:paraId="558AC61B">
      <w:pPr>
        <w:tabs>
          <w:tab w:val="left" w:pos="525"/>
        </w:tabs>
        <w:ind w:right="85" w:firstLine="420" w:firstLineChars="200"/>
        <w:jc w:val="left"/>
        <w:rPr>
          <w:rFonts w:cs="黑体" w:asciiTheme="minorEastAsia" w:hAnsiTheme="minorEastAsia" w:eastAsiaTheme="minorEastAsia"/>
          <w:kern w:val="0"/>
        </w:rPr>
      </w:pPr>
    </w:p>
    <w:p w14:paraId="62693CC9">
      <w:pPr>
        <w:tabs>
          <w:tab w:val="left" w:pos="525"/>
        </w:tabs>
        <w:ind w:right="85" w:firstLine="420" w:firstLineChars="200"/>
        <w:jc w:val="center"/>
        <w:rPr>
          <w:rFonts w:cs="Times New Roman" w:asciiTheme="minorEastAsia" w:hAnsiTheme="minorEastAsia" w:eastAsiaTheme="minorEastAsia"/>
        </w:rPr>
      </w:pPr>
      <w:r>
        <w:rPr>
          <w:rFonts w:hint="eastAsia" w:ascii="黑体" w:eastAsia="黑体" w:cs="黑体"/>
          <w:kern w:val="0"/>
        </w:rPr>
        <w:t>表</w:t>
      </w:r>
      <w:r>
        <w:rPr>
          <w:rFonts w:ascii="黑体" w:eastAsia="黑体" w:cs="黑体"/>
          <w:kern w:val="0"/>
        </w:rPr>
        <w:t>A.1</w:t>
      </w:r>
      <w:r>
        <w:rPr>
          <w:rFonts w:ascii="黑体" w:eastAsia="黑体" w:cs="黑体"/>
          <w:kern w:val="0"/>
        </w:rPr>
        <w:tab/>
      </w:r>
      <w:r>
        <w:rPr>
          <w:rFonts w:hint="eastAsia" w:ascii="Times New Roman" w:hAnsi="Times New Roman" w:eastAsia="黑体" w:cs="黑体"/>
          <w:kern w:val="0"/>
        </w:rPr>
        <w:t>绿色食品加工用橄榄结果树推荐</w:t>
      </w:r>
      <w:r>
        <w:rPr>
          <w:rFonts w:hint="eastAsia" w:ascii="黑体" w:eastAsia="黑体" w:cs="黑体"/>
        </w:rPr>
        <w:t>施肥方案</w:t>
      </w:r>
    </w:p>
    <w:tbl>
      <w:tblPr>
        <w:tblStyle w:val="11"/>
        <w:tblW w:w="857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19"/>
        <w:gridCol w:w="1390"/>
        <w:gridCol w:w="1553"/>
        <w:gridCol w:w="2000"/>
        <w:gridCol w:w="2517"/>
      </w:tblGrid>
      <w:tr w14:paraId="43FFF5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1119" w:type="dxa"/>
            <w:vAlign w:val="center"/>
          </w:tcPr>
          <w:p w14:paraId="43E8D0F1">
            <w:pPr>
              <w:jc w:val="center"/>
              <w:rPr>
                <w:rFonts w:ascii="Times New Roman" w:hAnsi="Times New Roman" w:cs="Times New Roman"/>
                <w:b/>
                <w:sz w:val="18"/>
                <w:szCs w:val="18"/>
              </w:rPr>
            </w:pPr>
            <w:r>
              <w:rPr>
                <w:rFonts w:hint="eastAsia" w:ascii="Times New Roman" w:hAnsi="Times New Roman" w:cs="宋体"/>
                <w:b/>
                <w:sz w:val="18"/>
                <w:szCs w:val="18"/>
              </w:rPr>
              <w:t>名称</w:t>
            </w:r>
          </w:p>
        </w:tc>
        <w:tc>
          <w:tcPr>
            <w:tcW w:w="1390" w:type="dxa"/>
            <w:vAlign w:val="center"/>
          </w:tcPr>
          <w:p w14:paraId="19EF1A2A">
            <w:pPr>
              <w:jc w:val="center"/>
              <w:rPr>
                <w:rFonts w:ascii="Times New Roman" w:hAnsi="Times New Roman" w:cs="Times New Roman"/>
                <w:b/>
                <w:sz w:val="18"/>
                <w:szCs w:val="18"/>
              </w:rPr>
            </w:pPr>
            <w:r>
              <w:rPr>
                <w:rFonts w:hint="eastAsia" w:ascii="Times New Roman" w:hAnsi="Times New Roman" w:cs="宋体"/>
                <w:b/>
                <w:sz w:val="18"/>
                <w:szCs w:val="18"/>
              </w:rPr>
              <w:t>时间</w:t>
            </w:r>
          </w:p>
        </w:tc>
        <w:tc>
          <w:tcPr>
            <w:tcW w:w="1553" w:type="dxa"/>
            <w:vAlign w:val="center"/>
          </w:tcPr>
          <w:p w14:paraId="04FB9C69">
            <w:pPr>
              <w:jc w:val="center"/>
              <w:rPr>
                <w:rFonts w:ascii="Times New Roman" w:hAnsi="Times New Roman" w:cs="Times New Roman"/>
                <w:b/>
                <w:sz w:val="18"/>
                <w:szCs w:val="18"/>
              </w:rPr>
            </w:pPr>
            <w:r>
              <w:rPr>
                <w:rFonts w:hint="eastAsia" w:ascii="Times New Roman" w:hAnsi="Times New Roman" w:cs="宋体"/>
                <w:b/>
                <w:sz w:val="18"/>
                <w:szCs w:val="18"/>
              </w:rPr>
              <w:t>施肥目标</w:t>
            </w:r>
          </w:p>
        </w:tc>
        <w:tc>
          <w:tcPr>
            <w:tcW w:w="2000" w:type="dxa"/>
            <w:vAlign w:val="center"/>
          </w:tcPr>
          <w:p w14:paraId="2DFE9458">
            <w:pPr>
              <w:jc w:val="center"/>
              <w:rPr>
                <w:rFonts w:ascii="Times New Roman" w:hAnsi="Times New Roman" w:cs="Times New Roman"/>
                <w:b/>
                <w:sz w:val="18"/>
                <w:szCs w:val="18"/>
              </w:rPr>
            </w:pPr>
            <w:r>
              <w:rPr>
                <w:rFonts w:hint="eastAsia" w:ascii="Times New Roman" w:hAnsi="Times New Roman" w:cs="宋体"/>
                <w:b/>
                <w:sz w:val="18"/>
                <w:szCs w:val="18"/>
              </w:rPr>
              <w:t>施肥比例</w:t>
            </w:r>
          </w:p>
        </w:tc>
        <w:tc>
          <w:tcPr>
            <w:tcW w:w="2517" w:type="dxa"/>
            <w:vAlign w:val="center"/>
          </w:tcPr>
          <w:p w14:paraId="64C62475">
            <w:pPr>
              <w:jc w:val="center"/>
              <w:rPr>
                <w:rFonts w:ascii="Times New Roman" w:hAnsi="Times New Roman" w:cs="Times New Roman"/>
                <w:b/>
                <w:sz w:val="18"/>
                <w:szCs w:val="18"/>
              </w:rPr>
            </w:pPr>
            <w:r>
              <w:rPr>
                <w:rFonts w:hint="eastAsia" w:ascii="Times New Roman" w:hAnsi="Times New Roman" w:cs="宋体"/>
                <w:b/>
                <w:sz w:val="18"/>
                <w:szCs w:val="18"/>
              </w:rPr>
              <w:t>施肥量/株</w:t>
            </w:r>
          </w:p>
        </w:tc>
      </w:tr>
      <w:tr w14:paraId="37015A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8" w:hRule="atLeast"/>
          <w:jc w:val="center"/>
        </w:trPr>
        <w:tc>
          <w:tcPr>
            <w:tcW w:w="1119" w:type="dxa"/>
            <w:vAlign w:val="center"/>
          </w:tcPr>
          <w:p w14:paraId="00DD8FA0">
            <w:pPr>
              <w:jc w:val="center"/>
              <w:rPr>
                <w:rFonts w:ascii="Times New Roman" w:hAnsi="Times New Roman" w:cs="Times New Roman"/>
                <w:sz w:val="18"/>
                <w:szCs w:val="18"/>
              </w:rPr>
            </w:pPr>
            <w:r>
              <w:rPr>
                <w:rFonts w:hint="eastAsia" w:ascii="Times New Roman" w:hAnsi="Times New Roman" w:cs="宋体"/>
                <w:sz w:val="18"/>
                <w:szCs w:val="18"/>
              </w:rPr>
              <w:t>花前肥</w:t>
            </w:r>
          </w:p>
        </w:tc>
        <w:tc>
          <w:tcPr>
            <w:tcW w:w="1390" w:type="dxa"/>
            <w:vAlign w:val="center"/>
          </w:tcPr>
          <w:p w14:paraId="2B535023">
            <w:pPr>
              <w:jc w:val="left"/>
              <w:rPr>
                <w:rFonts w:ascii="Times New Roman" w:hAnsi="Times New Roman" w:cs="Times New Roman"/>
                <w:sz w:val="18"/>
                <w:szCs w:val="18"/>
              </w:rPr>
            </w:pPr>
            <w:r>
              <w:rPr>
                <w:rFonts w:ascii="Times New Roman" w:hAnsi="Times New Roman" w:cs="Times New Roman"/>
                <w:sz w:val="18"/>
                <w:szCs w:val="18"/>
              </w:rPr>
              <w:t>2</w:t>
            </w:r>
            <w:r>
              <w:rPr>
                <w:rFonts w:hint="eastAsia" w:ascii="Times New Roman" w:hAnsi="Times New Roman" w:cs="宋体"/>
                <w:sz w:val="18"/>
                <w:szCs w:val="18"/>
              </w:rPr>
              <w:t>月</w:t>
            </w:r>
            <w:r>
              <w:rPr>
                <w:rFonts w:ascii="Times New Roman" w:hAnsi="Times New Roman" w:cs="Times New Roman"/>
                <w:sz w:val="18"/>
                <w:szCs w:val="18"/>
              </w:rPr>
              <w:t>~3</w:t>
            </w:r>
            <w:r>
              <w:rPr>
                <w:rFonts w:hint="eastAsia" w:ascii="Times New Roman" w:hAnsi="Times New Roman" w:cs="宋体"/>
                <w:sz w:val="18"/>
                <w:szCs w:val="18"/>
              </w:rPr>
              <w:t>月</w:t>
            </w:r>
          </w:p>
        </w:tc>
        <w:tc>
          <w:tcPr>
            <w:tcW w:w="1553" w:type="dxa"/>
            <w:vAlign w:val="center"/>
          </w:tcPr>
          <w:p w14:paraId="462BBC28">
            <w:pPr>
              <w:jc w:val="left"/>
              <w:rPr>
                <w:rFonts w:ascii="Times New Roman" w:hAnsi="Times New Roman" w:cs="Times New Roman"/>
                <w:sz w:val="18"/>
                <w:szCs w:val="18"/>
              </w:rPr>
            </w:pPr>
            <w:r>
              <w:rPr>
                <w:rFonts w:hint="eastAsia" w:ascii="Times New Roman" w:hAnsi="Times New Roman" w:cs="Times New Roman"/>
                <w:sz w:val="18"/>
                <w:szCs w:val="18"/>
              </w:rPr>
              <w:t>花芽分化和提高坐果率</w:t>
            </w:r>
          </w:p>
        </w:tc>
        <w:tc>
          <w:tcPr>
            <w:tcW w:w="2000" w:type="dxa"/>
            <w:vAlign w:val="center"/>
          </w:tcPr>
          <w:p w14:paraId="28D0C92F">
            <w:pPr>
              <w:jc w:val="left"/>
              <w:rPr>
                <w:rFonts w:ascii="Times New Roman" w:hAnsi="Times New Roman" w:cs="Times New Roman"/>
                <w:sz w:val="18"/>
                <w:szCs w:val="18"/>
              </w:rPr>
            </w:pPr>
            <w:r>
              <w:rPr>
                <w:rFonts w:hint="eastAsia" w:ascii="Times New Roman" w:hAnsi="Times New Roman" w:cs="宋体"/>
                <w:sz w:val="18"/>
                <w:szCs w:val="18"/>
              </w:rPr>
              <w:t>施肥量占全年的</w:t>
            </w:r>
            <w:r>
              <w:rPr>
                <w:rFonts w:ascii="Times New Roman" w:hAnsi="Times New Roman" w:cs="Times New Roman"/>
                <w:sz w:val="18"/>
                <w:szCs w:val="18"/>
              </w:rPr>
              <w:t>15%</w:t>
            </w:r>
            <w:r>
              <w:rPr>
                <w:rFonts w:hint="eastAsia" w:ascii="Times New Roman" w:hAnsi="Times New Roman" w:cs="Times New Roman"/>
                <w:sz w:val="18"/>
                <w:szCs w:val="18"/>
              </w:rPr>
              <w:t>左右。</w:t>
            </w:r>
          </w:p>
        </w:tc>
        <w:tc>
          <w:tcPr>
            <w:tcW w:w="2517" w:type="dxa"/>
            <w:vAlign w:val="center"/>
          </w:tcPr>
          <w:p w14:paraId="2DF3A73B">
            <w:pPr>
              <w:pStyle w:val="16"/>
            </w:pPr>
            <w:r>
              <w:rPr>
                <w:rFonts w:hint="eastAsia" w:ascii="Times New Roman" w:hAnsi="Times New Roman" w:cs="宋体"/>
                <w:kern w:val="2"/>
                <w:sz w:val="18"/>
                <w:szCs w:val="18"/>
              </w:rPr>
              <w:t>氮磷钾（</w:t>
            </w:r>
            <w:r>
              <w:rPr>
                <w:rFonts w:ascii="Times New Roman" w:hAnsi="Times New Roman" w:cs="宋体"/>
                <w:kern w:val="2"/>
                <w:sz w:val="18"/>
                <w:szCs w:val="18"/>
              </w:rPr>
              <w:t>N:P:K=15:15:15</w:t>
            </w:r>
            <w:r>
              <w:rPr>
                <w:rFonts w:hint="eastAsia" w:ascii="Times New Roman" w:hAnsi="Times New Roman" w:cs="宋体"/>
                <w:kern w:val="2"/>
                <w:sz w:val="18"/>
                <w:szCs w:val="18"/>
              </w:rPr>
              <w:t>）复合肥</w:t>
            </w:r>
            <w:r>
              <w:rPr>
                <w:rFonts w:ascii="Times New Roman" w:hAnsi="Times New Roman" w:cs="宋体"/>
                <w:kern w:val="2"/>
                <w:sz w:val="18"/>
                <w:szCs w:val="18"/>
              </w:rPr>
              <w:t>0.5kg~1.5kg</w:t>
            </w:r>
            <w:r>
              <w:rPr>
                <w:rFonts w:hint="eastAsia" w:ascii="Times New Roman" w:hAnsi="Times New Roman" w:cs="宋体"/>
                <w:kern w:val="2"/>
                <w:sz w:val="18"/>
                <w:szCs w:val="18"/>
              </w:rPr>
              <w:t>，腐熟有机肥</w:t>
            </w:r>
            <w:r>
              <w:rPr>
                <w:rFonts w:ascii="Times New Roman" w:hAnsi="Times New Roman" w:cs="宋体"/>
                <w:kern w:val="2"/>
                <w:sz w:val="18"/>
                <w:szCs w:val="18"/>
              </w:rPr>
              <w:t>4kg~6kg</w:t>
            </w:r>
            <w:r>
              <w:rPr>
                <w:rFonts w:hint="eastAsia" w:ascii="Times New Roman" w:hAnsi="Times New Roman" w:cs="宋体"/>
                <w:kern w:val="2"/>
                <w:sz w:val="18"/>
                <w:szCs w:val="18"/>
              </w:rPr>
              <w:t>，硼砂</w:t>
            </w:r>
            <w:r>
              <w:rPr>
                <w:rFonts w:ascii="Times New Roman" w:hAnsi="Times New Roman" w:cs="宋体"/>
                <w:kern w:val="2"/>
                <w:sz w:val="18"/>
                <w:szCs w:val="18"/>
              </w:rPr>
              <w:t>0.5kg</w:t>
            </w:r>
            <w:r>
              <w:rPr>
                <w:rFonts w:hint="eastAsia" w:ascii="Times New Roman" w:hAnsi="Times New Roman" w:cs="宋体"/>
                <w:sz w:val="18"/>
                <w:szCs w:val="18"/>
              </w:rPr>
              <w:t>。</w:t>
            </w:r>
          </w:p>
        </w:tc>
      </w:tr>
      <w:tr w14:paraId="03175C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19" w:type="dxa"/>
            <w:vAlign w:val="center"/>
          </w:tcPr>
          <w:p w14:paraId="31954337">
            <w:pPr>
              <w:jc w:val="center"/>
              <w:rPr>
                <w:rFonts w:ascii="Times New Roman" w:hAnsi="Times New Roman" w:cs="Times New Roman"/>
                <w:sz w:val="18"/>
                <w:szCs w:val="18"/>
              </w:rPr>
            </w:pPr>
            <w:r>
              <w:rPr>
                <w:rFonts w:hint="eastAsia" w:ascii="Times New Roman" w:hAnsi="Times New Roman" w:cs="宋体"/>
                <w:sz w:val="18"/>
                <w:szCs w:val="18"/>
              </w:rPr>
              <w:t>壮果肥</w:t>
            </w:r>
          </w:p>
        </w:tc>
        <w:tc>
          <w:tcPr>
            <w:tcW w:w="1390" w:type="dxa"/>
            <w:vAlign w:val="center"/>
          </w:tcPr>
          <w:p w14:paraId="24BD6FBC">
            <w:pPr>
              <w:jc w:val="left"/>
              <w:rPr>
                <w:rFonts w:ascii="Times New Roman" w:hAnsi="Times New Roman" w:cs="Times New Roman"/>
                <w:sz w:val="18"/>
                <w:szCs w:val="18"/>
              </w:rPr>
            </w:pPr>
            <w:r>
              <w:rPr>
                <w:rFonts w:hint="eastAsia" w:ascii="Times New Roman" w:hAnsi="Times New Roman" w:cs="Times New Roman"/>
                <w:sz w:val="18"/>
                <w:szCs w:val="18"/>
              </w:rPr>
              <w:t>8月</w:t>
            </w:r>
            <w:r>
              <w:rPr>
                <w:rFonts w:ascii="Times New Roman" w:hAnsi="Times New Roman" w:cs="Times New Roman"/>
                <w:sz w:val="18"/>
                <w:szCs w:val="18"/>
              </w:rPr>
              <w:t>~</w:t>
            </w:r>
            <w:r>
              <w:rPr>
                <w:rFonts w:hint="eastAsia" w:ascii="Times New Roman" w:hAnsi="Times New Roman" w:cs="Times New Roman"/>
                <w:sz w:val="18"/>
                <w:szCs w:val="18"/>
              </w:rPr>
              <w:t>9月</w:t>
            </w:r>
          </w:p>
        </w:tc>
        <w:tc>
          <w:tcPr>
            <w:tcW w:w="1553" w:type="dxa"/>
            <w:vAlign w:val="center"/>
          </w:tcPr>
          <w:p w14:paraId="22459952">
            <w:pPr>
              <w:jc w:val="left"/>
              <w:rPr>
                <w:rFonts w:ascii="Times New Roman" w:hAnsi="Times New Roman" w:cs="Times New Roman"/>
                <w:sz w:val="18"/>
                <w:szCs w:val="18"/>
              </w:rPr>
            </w:pPr>
            <w:r>
              <w:rPr>
                <w:rFonts w:hint="eastAsia" w:ascii="Times New Roman" w:hAnsi="Times New Roman" w:cs="宋体"/>
                <w:sz w:val="18"/>
                <w:szCs w:val="18"/>
              </w:rPr>
              <w:t>保果壮果和秋梢抽生</w:t>
            </w:r>
          </w:p>
        </w:tc>
        <w:tc>
          <w:tcPr>
            <w:tcW w:w="2000" w:type="dxa"/>
            <w:vAlign w:val="center"/>
          </w:tcPr>
          <w:p w14:paraId="127DD2D0">
            <w:pPr>
              <w:jc w:val="left"/>
              <w:rPr>
                <w:rFonts w:ascii="Times New Roman" w:hAnsi="Times New Roman" w:cs="Times New Roman"/>
                <w:sz w:val="18"/>
                <w:szCs w:val="18"/>
              </w:rPr>
            </w:pPr>
            <w:r>
              <w:rPr>
                <w:rFonts w:hint="eastAsia" w:ascii="Times New Roman" w:hAnsi="Times New Roman" w:cs="宋体"/>
                <w:sz w:val="18"/>
                <w:szCs w:val="18"/>
              </w:rPr>
              <w:t>施肥量占全年的</w:t>
            </w:r>
            <w:r>
              <w:rPr>
                <w:rFonts w:ascii="Times New Roman" w:hAnsi="Times New Roman" w:cs="Times New Roman"/>
                <w:sz w:val="18"/>
                <w:szCs w:val="18"/>
              </w:rPr>
              <w:t>20%</w:t>
            </w:r>
            <w:r>
              <w:rPr>
                <w:rFonts w:hint="eastAsia" w:ascii="Times New Roman" w:hAnsi="Times New Roman" w:cs="Times New Roman"/>
                <w:sz w:val="18"/>
                <w:szCs w:val="18"/>
              </w:rPr>
              <w:t>左右。</w:t>
            </w:r>
          </w:p>
        </w:tc>
        <w:tc>
          <w:tcPr>
            <w:tcW w:w="2517" w:type="dxa"/>
            <w:vAlign w:val="center"/>
          </w:tcPr>
          <w:p w14:paraId="4D39F2CF">
            <w:pPr>
              <w:jc w:val="left"/>
              <w:rPr>
                <w:rFonts w:ascii="Times New Roman" w:hAnsi="Times New Roman" w:cs="宋体"/>
                <w:sz w:val="18"/>
                <w:szCs w:val="18"/>
              </w:rPr>
            </w:pPr>
            <w:r>
              <w:rPr>
                <w:rFonts w:hint="eastAsia" w:ascii="Times New Roman" w:hAnsi="Times New Roman" w:cs="宋体"/>
                <w:sz w:val="18"/>
                <w:szCs w:val="18"/>
              </w:rPr>
              <w:t>氮磷钾（</w:t>
            </w:r>
            <w:r>
              <w:rPr>
                <w:rFonts w:ascii="Times New Roman" w:hAnsi="Times New Roman" w:cs="宋体"/>
                <w:sz w:val="18"/>
                <w:szCs w:val="18"/>
              </w:rPr>
              <w:t>N:P:K=15:15:15</w:t>
            </w:r>
            <w:r>
              <w:rPr>
                <w:rFonts w:hint="eastAsia" w:ascii="Times New Roman" w:hAnsi="Times New Roman" w:cs="宋体"/>
                <w:sz w:val="18"/>
                <w:szCs w:val="18"/>
              </w:rPr>
              <w:t>）</w:t>
            </w:r>
            <w:r>
              <w:rPr>
                <w:rFonts w:ascii="Times New Roman" w:hAnsi="Times New Roman" w:cs="宋体"/>
                <w:sz w:val="18"/>
                <w:szCs w:val="18"/>
              </w:rPr>
              <w:t>0.4kg~0.6kg</w:t>
            </w:r>
            <w:r>
              <w:rPr>
                <w:rFonts w:hint="eastAsia" w:ascii="Times New Roman" w:hAnsi="Times New Roman" w:cs="宋体"/>
                <w:sz w:val="18"/>
                <w:szCs w:val="18"/>
              </w:rPr>
              <w:t>，腐熟有机肥</w:t>
            </w:r>
            <w:r>
              <w:rPr>
                <w:rFonts w:ascii="Times New Roman" w:hAnsi="Times New Roman" w:cs="宋体"/>
                <w:sz w:val="18"/>
                <w:szCs w:val="18"/>
              </w:rPr>
              <w:t>8kg~12kg</w:t>
            </w:r>
            <w:r>
              <w:rPr>
                <w:rFonts w:hint="eastAsia" w:ascii="Times New Roman" w:hAnsi="Times New Roman" w:cs="宋体"/>
                <w:sz w:val="18"/>
                <w:szCs w:val="18"/>
              </w:rPr>
              <w:t>。</w:t>
            </w:r>
          </w:p>
        </w:tc>
      </w:tr>
      <w:tr w14:paraId="0117F2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1" w:hRule="atLeast"/>
          <w:jc w:val="center"/>
        </w:trPr>
        <w:tc>
          <w:tcPr>
            <w:tcW w:w="1119" w:type="dxa"/>
            <w:vAlign w:val="center"/>
          </w:tcPr>
          <w:p w14:paraId="54AB5970">
            <w:pPr>
              <w:jc w:val="center"/>
              <w:rPr>
                <w:rFonts w:ascii="Times New Roman" w:hAnsi="Times New Roman" w:cs="Times New Roman"/>
                <w:sz w:val="18"/>
                <w:szCs w:val="18"/>
              </w:rPr>
            </w:pPr>
            <w:r>
              <w:rPr>
                <w:rFonts w:hint="eastAsia" w:ascii="Times New Roman" w:hAnsi="Times New Roman" w:cs="宋体"/>
                <w:sz w:val="18"/>
                <w:szCs w:val="18"/>
              </w:rPr>
              <w:t>采果肥</w:t>
            </w:r>
          </w:p>
        </w:tc>
        <w:tc>
          <w:tcPr>
            <w:tcW w:w="1390" w:type="dxa"/>
            <w:vAlign w:val="center"/>
          </w:tcPr>
          <w:p w14:paraId="24673781">
            <w:pPr>
              <w:jc w:val="left"/>
              <w:rPr>
                <w:rFonts w:ascii="Times New Roman" w:hAnsi="Times New Roman" w:cs="Times New Roman"/>
                <w:sz w:val="18"/>
                <w:szCs w:val="18"/>
              </w:rPr>
            </w:pPr>
            <w:r>
              <w:rPr>
                <w:rFonts w:hint="eastAsia" w:ascii="Times New Roman" w:hAnsi="Times New Roman" w:cs="宋体"/>
                <w:sz w:val="18"/>
                <w:szCs w:val="18"/>
              </w:rPr>
              <w:t>采果后的</w:t>
            </w:r>
            <w:r>
              <w:rPr>
                <w:rFonts w:hint="eastAsia" w:ascii="Times New Roman" w:hAnsi="Times New Roman" w:cs="Times New Roman"/>
                <w:sz w:val="18"/>
                <w:szCs w:val="18"/>
              </w:rPr>
              <w:t>11</w:t>
            </w:r>
            <w:r>
              <w:rPr>
                <w:rFonts w:hint="eastAsia" w:ascii="Times New Roman" w:hAnsi="Times New Roman" w:cs="宋体"/>
                <w:sz w:val="18"/>
                <w:szCs w:val="18"/>
              </w:rPr>
              <w:t>月</w:t>
            </w:r>
            <w:r>
              <w:rPr>
                <w:rFonts w:ascii="Times New Roman" w:hAnsi="Times New Roman" w:cs="Times New Roman"/>
                <w:sz w:val="18"/>
                <w:szCs w:val="18"/>
              </w:rPr>
              <w:t>~</w:t>
            </w:r>
            <w:r>
              <w:rPr>
                <w:rFonts w:hint="eastAsia" w:ascii="Times New Roman" w:hAnsi="Times New Roman" w:cs="宋体"/>
                <w:sz w:val="18"/>
                <w:szCs w:val="18"/>
              </w:rPr>
              <w:t>12上旬</w:t>
            </w:r>
          </w:p>
        </w:tc>
        <w:tc>
          <w:tcPr>
            <w:tcW w:w="1553" w:type="dxa"/>
            <w:vAlign w:val="center"/>
          </w:tcPr>
          <w:p w14:paraId="18EBE728">
            <w:pPr>
              <w:jc w:val="left"/>
              <w:rPr>
                <w:rFonts w:ascii="Times New Roman" w:hAnsi="Times New Roman" w:cs="Times New Roman"/>
                <w:sz w:val="18"/>
                <w:szCs w:val="18"/>
              </w:rPr>
            </w:pPr>
            <w:r>
              <w:rPr>
                <w:rFonts w:hint="eastAsia" w:ascii="Times New Roman" w:hAnsi="Times New Roman" w:cs="宋体"/>
                <w:sz w:val="18"/>
                <w:szCs w:val="18"/>
              </w:rPr>
              <w:t>恢复树势和结果母枝健壮生长</w:t>
            </w:r>
          </w:p>
        </w:tc>
        <w:tc>
          <w:tcPr>
            <w:tcW w:w="2000" w:type="dxa"/>
            <w:vAlign w:val="center"/>
          </w:tcPr>
          <w:p w14:paraId="4A103521">
            <w:pPr>
              <w:jc w:val="left"/>
              <w:rPr>
                <w:rFonts w:ascii="Times New Roman" w:hAnsi="Times New Roman" w:cs="Times New Roman"/>
                <w:sz w:val="18"/>
                <w:szCs w:val="18"/>
              </w:rPr>
            </w:pPr>
            <w:r>
              <w:rPr>
                <w:rFonts w:hint="eastAsia" w:ascii="Times New Roman" w:hAnsi="Times New Roman" w:cs="宋体"/>
                <w:sz w:val="18"/>
                <w:szCs w:val="18"/>
              </w:rPr>
              <w:t>施肥量占全年的</w:t>
            </w:r>
            <w:r>
              <w:rPr>
                <w:rFonts w:ascii="Times New Roman" w:hAnsi="Times New Roman" w:cs="宋体"/>
                <w:sz w:val="18"/>
                <w:szCs w:val="18"/>
              </w:rPr>
              <w:t>6</w:t>
            </w:r>
            <w:r>
              <w:rPr>
                <w:rFonts w:ascii="Times New Roman" w:hAnsi="Times New Roman" w:cs="Times New Roman"/>
                <w:sz w:val="18"/>
                <w:szCs w:val="18"/>
              </w:rPr>
              <w:t>5%</w:t>
            </w:r>
            <w:r>
              <w:rPr>
                <w:rFonts w:hint="eastAsia" w:ascii="Times New Roman" w:hAnsi="Times New Roman" w:cs="Times New Roman"/>
                <w:sz w:val="18"/>
                <w:szCs w:val="18"/>
              </w:rPr>
              <w:t>左右。</w:t>
            </w:r>
          </w:p>
        </w:tc>
        <w:tc>
          <w:tcPr>
            <w:tcW w:w="2517" w:type="dxa"/>
            <w:vAlign w:val="center"/>
          </w:tcPr>
          <w:p w14:paraId="57FCA3B0">
            <w:pPr>
              <w:jc w:val="left"/>
              <w:rPr>
                <w:rFonts w:ascii="Times New Roman" w:hAnsi="Times New Roman" w:cs="宋体"/>
                <w:sz w:val="18"/>
                <w:szCs w:val="18"/>
              </w:rPr>
            </w:pPr>
            <w:r>
              <w:rPr>
                <w:rFonts w:hint="eastAsia" w:ascii="Times New Roman" w:hAnsi="Times New Roman" w:cs="宋体"/>
                <w:sz w:val="18"/>
                <w:szCs w:val="18"/>
              </w:rPr>
              <w:t>氮磷钾（</w:t>
            </w:r>
            <w:r>
              <w:rPr>
                <w:rFonts w:ascii="Times New Roman" w:hAnsi="Times New Roman" w:cs="宋体"/>
                <w:sz w:val="18"/>
                <w:szCs w:val="18"/>
              </w:rPr>
              <w:t>N:P:K=15:15:15</w:t>
            </w:r>
            <w:r>
              <w:rPr>
                <w:rFonts w:hint="eastAsia" w:ascii="Times New Roman" w:hAnsi="Times New Roman" w:cs="宋体"/>
                <w:sz w:val="18"/>
                <w:szCs w:val="18"/>
              </w:rPr>
              <w:t>）复合肥</w:t>
            </w:r>
            <w:r>
              <w:rPr>
                <w:rFonts w:ascii="Times New Roman" w:hAnsi="Times New Roman" w:cs="宋体"/>
                <w:sz w:val="18"/>
                <w:szCs w:val="18"/>
              </w:rPr>
              <w:t>0.5kg~1.5kg</w:t>
            </w:r>
            <w:r>
              <w:rPr>
                <w:rFonts w:hint="eastAsia" w:ascii="Times New Roman" w:hAnsi="Times New Roman" w:cs="宋体"/>
                <w:sz w:val="18"/>
                <w:szCs w:val="18"/>
              </w:rPr>
              <w:t>，腐熟有机肥</w:t>
            </w:r>
            <w:r>
              <w:rPr>
                <w:rFonts w:ascii="Times New Roman" w:hAnsi="Times New Roman" w:cs="宋体"/>
                <w:sz w:val="18"/>
                <w:szCs w:val="18"/>
              </w:rPr>
              <w:t>20kg~30kg</w:t>
            </w:r>
            <w:r>
              <w:rPr>
                <w:rFonts w:hint="eastAsia" w:ascii="Times New Roman" w:hAnsi="Times New Roman" w:cs="宋体"/>
                <w:sz w:val="18"/>
                <w:szCs w:val="18"/>
              </w:rPr>
              <w:t>。</w:t>
            </w:r>
          </w:p>
        </w:tc>
      </w:tr>
    </w:tbl>
    <w:p w14:paraId="002A2EEA">
      <w:pPr>
        <w:tabs>
          <w:tab w:val="left" w:pos="525"/>
        </w:tabs>
        <w:ind w:right="87"/>
        <w:rPr>
          <w:rFonts w:ascii="Times New Roman" w:hAnsi="Times New Roman" w:eastAsia="黑体" w:cs="Times New Roman"/>
          <w:kern w:val="0"/>
        </w:rPr>
      </w:pPr>
    </w:p>
    <w:p w14:paraId="47AACB7F">
      <w:pPr>
        <w:tabs>
          <w:tab w:val="left" w:pos="525"/>
        </w:tabs>
        <w:ind w:right="87"/>
        <w:rPr>
          <w:rFonts w:ascii="Times New Roman" w:hAnsi="Times New Roman" w:eastAsia="黑体" w:cs="Times New Roman"/>
          <w:kern w:val="0"/>
        </w:rPr>
        <w:sectPr>
          <w:footerReference r:id="rId11" w:type="default"/>
          <w:footerReference r:id="rId12" w:type="even"/>
          <w:pgSz w:w="11910" w:h="16840"/>
          <w:pgMar w:top="1440" w:right="1800" w:bottom="1440" w:left="1800" w:header="1448" w:footer="1141" w:gutter="0"/>
          <w:pgNumType w:start="1"/>
          <w:cols w:space="720" w:num="1"/>
          <w:docGrid w:linePitch="286" w:charSpace="0"/>
        </w:sectPr>
      </w:pPr>
    </w:p>
    <w:p w14:paraId="4802B99A">
      <w:pPr>
        <w:pStyle w:val="2"/>
        <w:jc w:val="center"/>
      </w:pPr>
      <w:r>
        <w:rPr>
          <w:rFonts w:hint="eastAsia"/>
        </w:rPr>
        <w:t>附录</w:t>
      </w:r>
      <w:r>
        <w:t>B</w:t>
      </w:r>
    </w:p>
    <w:p w14:paraId="26972D7E">
      <w:pPr>
        <w:jc w:val="center"/>
        <w:rPr>
          <w:rFonts w:ascii="黑体" w:eastAsia="黑体" w:cs="Times New Roman"/>
        </w:rPr>
      </w:pPr>
      <w:r>
        <w:rPr>
          <w:rFonts w:hint="eastAsia" w:ascii="黑体" w:eastAsia="黑体" w:cs="黑体"/>
        </w:rPr>
        <w:t>（资料性附录）</w:t>
      </w:r>
    </w:p>
    <w:p w14:paraId="1B5E7768">
      <w:pPr>
        <w:tabs>
          <w:tab w:val="left" w:pos="525"/>
        </w:tabs>
        <w:ind w:right="85"/>
        <w:jc w:val="center"/>
        <w:rPr>
          <w:rFonts w:ascii="黑体" w:eastAsia="黑体" w:cs="黑体"/>
        </w:rPr>
      </w:pPr>
      <w:r>
        <w:rPr>
          <w:rFonts w:hint="eastAsia" w:ascii="Times New Roman" w:hAnsi="Times New Roman" w:eastAsia="黑体" w:cs="黑体"/>
          <w:kern w:val="0"/>
        </w:rPr>
        <w:t>绿色食品加工用橄榄生产主要病虫害防治推荐农药使用方案</w:t>
      </w:r>
    </w:p>
    <w:p w14:paraId="242EEFAE">
      <w:pPr>
        <w:tabs>
          <w:tab w:val="left" w:pos="525"/>
        </w:tabs>
        <w:ind w:right="87"/>
        <w:rPr>
          <w:rFonts w:ascii="Times New Roman" w:hAnsi="Times New Roman" w:eastAsia="黑体" w:cs="Times New Roman"/>
          <w:kern w:val="0"/>
        </w:rPr>
      </w:pPr>
    </w:p>
    <w:p w14:paraId="70265686">
      <w:pPr>
        <w:jc w:val="center"/>
        <w:rPr>
          <w:rFonts w:ascii="Times New Roman" w:hAnsi="Times New Roman" w:eastAsia="黑体" w:cs="Times New Roman"/>
        </w:rPr>
      </w:pPr>
    </w:p>
    <w:p w14:paraId="0A5BC631">
      <w:pPr>
        <w:tabs>
          <w:tab w:val="left" w:pos="525"/>
        </w:tabs>
        <w:ind w:right="85" w:firstLine="420" w:firstLineChars="200"/>
        <w:jc w:val="left"/>
        <w:rPr>
          <w:rFonts w:cs="Times New Roman" w:asciiTheme="minorEastAsia" w:hAnsiTheme="minorEastAsia" w:eastAsiaTheme="minorEastAsia"/>
          <w:kern w:val="0"/>
        </w:rPr>
      </w:pPr>
      <w:r>
        <w:rPr>
          <w:rFonts w:hint="eastAsia" w:cs="黑体" w:asciiTheme="minorEastAsia" w:hAnsiTheme="minorEastAsia" w:eastAsiaTheme="minorEastAsia"/>
          <w:kern w:val="0"/>
        </w:rPr>
        <w:t>绿色食品加工用橄榄生产主要病虫害防治推荐农药使用方案见表</w:t>
      </w:r>
      <w:r>
        <w:rPr>
          <w:rFonts w:cs="Times New Roman" w:asciiTheme="minorEastAsia" w:hAnsiTheme="minorEastAsia" w:eastAsiaTheme="minorEastAsia"/>
          <w:kern w:val="0"/>
        </w:rPr>
        <w:t>B.1</w:t>
      </w:r>
      <w:r>
        <w:rPr>
          <w:rFonts w:cs="Times New Roman" w:asciiTheme="minorEastAsia" w:hAnsiTheme="minorEastAsia" w:eastAsiaTheme="minorEastAsia"/>
          <w:kern w:val="0"/>
        </w:rPr>
        <w:tab/>
      </w:r>
      <w:r>
        <w:rPr>
          <w:rFonts w:hint="eastAsia" w:cs="Times New Roman" w:asciiTheme="minorEastAsia" w:hAnsiTheme="minorEastAsia" w:eastAsiaTheme="minorEastAsia"/>
          <w:kern w:val="0"/>
        </w:rPr>
        <w:t>。</w:t>
      </w:r>
    </w:p>
    <w:p w14:paraId="4740D8EA">
      <w:pPr>
        <w:tabs>
          <w:tab w:val="left" w:pos="525"/>
        </w:tabs>
        <w:ind w:right="85"/>
        <w:jc w:val="left"/>
        <w:rPr>
          <w:rFonts w:cs="黑体" w:asciiTheme="minorEastAsia" w:hAnsiTheme="minorEastAsia" w:eastAsiaTheme="minorEastAsia"/>
          <w:kern w:val="0"/>
        </w:rPr>
      </w:pPr>
    </w:p>
    <w:p w14:paraId="5CBEE14C">
      <w:pPr>
        <w:tabs>
          <w:tab w:val="left" w:pos="525"/>
        </w:tabs>
        <w:ind w:right="85"/>
        <w:jc w:val="center"/>
        <w:rPr>
          <w:rFonts w:ascii="黑体" w:eastAsia="黑体" w:cs="Times New Roman"/>
          <w:kern w:val="0"/>
        </w:rPr>
      </w:pPr>
      <w:r>
        <w:rPr>
          <w:rFonts w:hint="eastAsia" w:ascii="Times New Roman" w:hAnsi="Times New Roman" w:eastAsia="黑体" w:cs="黑体"/>
          <w:kern w:val="0"/>
        </w:rPr>
        <w:t>表</w:t>
      </w:r>
      <w:r>
        <w:rPr>
          <w:rFonts w:ascii="Times New Roman" w:hAnsi="Times New Roman" w:eastAsia="黑体" w:cs="Times New Roman"/>
          <w:kern w:val="0"/>
        </w:rPr>
        <w:t>B.1</w:t>
      </w:r>
      <w:r>
        <w:rPr>
          <w:rFonts w:ascii="Times New Roman" w:hAnsi="Times New Roman" w:eastAsia="黑体" w:cs="Times New Roman"/>
          <w:kern w:val="0"/>
        </w:rPr>
        <w:tab/>
      </w:r>
      <w:r>
        <w:rPr>
          <w:rFonts w:hint="eastAsia" w:ascii="Times New Roman" w:hAnsi="Times New Roman" w:eastAsia="黑体" w:cs="黑体"/>
          <w:kern w:val="0"/>
        </w:rPr>
        <w:t>绿色食品加工用橄榄生产主要病虫害防治推荐农药使用方案</w:t>
      </w:r>
    </w:p>
    <w:tbl>
      <w:tblPr>
        <w:tblStyle w:val="11"/>
        <w:tblpPr w:leftFromText="180" w:rightFromText="180" w:vertAnchor="text" w:horzAnchor="page" w:tblpX="1744" w:tblpY="246"/>
        <w:tblOverlap w:val="never"/>
        <w:tblW w:w="868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1271"/>
        <w:gridCol w:w="1985"/>
        <w:gridCol w:w="2126"/>
        <w:gridCol w:w="1559"/>
        <w:gridCol w:w="709"/>
        <w:gridCol w:w="1034"/>
      </w:tblGrid>
      <w:tr w14:paraId="1A7ED4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94" w:hRule="exact"/>
        </w:trPr>
        <w:tc>
          <w:tcPr>
            <w:tcW w:w="1271" w:type="dxa"/>
            <w:tcMar>
              <w:left w:w="85" w:type="dxa"/>
              <w:right w:w="85" w:type="dxa"/>
            </w:tcMar>
            <w:vAlign w:val="center"/>
          </w:tcPr>
          <w:p w14:paraId="099E50C9">
            <w:pPr>
              <w:jc w:val="center"/>
              <w:rPr>
                <w:rFonts w:ascii="Times New Roman" w:hAnsi="Times New Roman" w:cs="Times New Roman"/>
                <w:b/>
                <w:sz w:val="18"/>
                <w:szCs w:val="18"/>
              </w:rPr>
            </w:pPr>
            <w:r>
              <w:rPr>
                <w:rFonts w:hint="eastAsia" w:ascii="Times New Roman" w:hAnsi="Times New Roman" w:cs="宋体"/>
                <w:b/>
                <w:sz w:val="18"/>
                <w:szCs w:val="18"/>
              </w:rPr>
              <w:t>防治对象</w:t>
            </w:r>
          </w:p>
        </w:tc>
        <w:tc>
          <w:tcPr>
            <w:tcW w:w="1985" w:type="dxa"/>
            <w:tcMar>
              <w:left w:w="85" w:type="dxa"/>
              <w:right w:w="85" w:type="dxa"/>
            </w:tcMar>
            <w:vAlign w:val="center"/>
          </w:tcPr>
          <w:p w14:paraId="1AAB0CBE">
            <w:pPr>
              <w:jc w:val="center"/>
              <w:rPr>
                <w:rFonts w:ascii="Times New Roman" w:hAnsi="Times New Roman" w:cs="Times New Roman"/>
                <w:b/>
                <w:sz w:val="18"/>
                <w:szCs w:val="18"/>
              </w:rPr>
            </w:pPr>
            <w:r>
              <w:rPr>
                <w:rFonts w:hint="eastAsia" w:ascii="Times New Roman" w:hAnsi="Times New Roman" w:cs="宋体"/>
                <w:b/>
                <w:sz w:val="18"/>
                <w:szCs w:val="18"/>
              </w:rPr>
              <w:t>防治时期</w:t>
            </w:r>
          </w:p>
        </w:tc>
        <w:tc>
          <w:tcPr>
            <w:tcW w:w="2126" w:type="dxa"/>
            <w:tcMar>
              <w:left w:w="85" w:type="dxa"/>
              <w:right w:w="85" w:type="dxa"/>
            </w:tcMar>
            <w:vAlign w:val="center"/>
          </w:tcPr>
          <w:p w14:paraId="13F2D6D0">
            <w:pPr>
              <w:jc w:val="center"/>
              <w:rPr>
                <w:rFonts w:ascii="Times New Roman" w:hAnsi="Times New Roman" w:cs="Times New Roman"/>
                <w:b/>
                <w:sz w:val="18"/>
                <w:szCs w:val="18"/>
              </w:rPr>
            </w:pPr>
            <w:r>
              <w:rPr>
                <w:rFonts w:hint="eastAsia" w:ascii="Times New Roman" w:hAnsi="Times New Roman" w:cs="宋体"/>
                <w:b/>
                <w:sz w:val="18"/>
                <w:szCs w:val="18"/>
              </w:rPr>
              <w:t>农药名称</w:t>
            </w:r>
          </w:p>
        </w:tc>
        <w:tc>
          <w:tcPr>
            <w:tcW w:w="1559" w:type="dxa"/>
            <w:tcMar>
              <w:left w:w="85" w:type="dxa"/>
              <w:right w:w="85" w:type="dxa"/>
            </w:tcMar>
            <w:vAlign w:val="center"/>
          </w:tcPr>
          <w:p w14:paraId="7A793CCA">
            <w:pPr>
              <w:ind w:firstLine="220"/>
              <w:jc w:val="center"/>
              <w:rPr>
                <w:rFonts w:ascii="Times New Roman" w:hAnsi="Times New Roman" w:cs="Times New Roman"/>
                <w:b/>
                <w:sz w:val="18"/>
                <w:szCs w:val="18"/>
              </w:rPr>
            </w:pPr>
            <w:r>
              <w:rPr>
                <w:rFonts w:hint="eastAsia" w:ascii="Times New Roman" w:hAnsi="Times New Roman" w:cs="宋体"/>
                <w:b/>
                <w:sz w:val="18"/>
                <w:szCs w:val="18"/>
              </w:rPr>
              <w:t>使用剂量</w:t>
            </w:r>
          </w:p>
        </w:tc>
        <w:tc>
          <w:tcPr>
            <w:tcW w:w="709" w:type="dxa"/>
            <w:tcMar>
              <w:left w:w="85" w:type="dxa"/>
              <w:right w:w="85" w:type="dxa"/>
            </w:tcMar>
            <w:vAlign w:val="center"/>
          </w:tcPr>
          <w:p w14:paraId="2A6B8042">
            <w:pPr>
              <w:jc w:val="center"/>
              <w:rPr>
                <w:rFonts w:ascii="Times New Roman" w:hAnsi="Times New Roman" w:cs="Times New Roman"/>
                <w:b/>
                <w:sz w:val="18"/>
                <w:szCs w:val="18"/>
              </w:rPr>
            </w:pPr>
            <w:r>
              <w:rPr>
                <w:rFonts w:hint="eastAsia" w:ascii="Times New Roman" w:hAnsi="Times New Roman" w:cs="宋体"/>
                <w:b/>
                <w:sz w:val="18"/>
                <w:szCs w:val="18"/>
              </w:rPr>
              <w:t>使用方法</w:t>
            </w:r>
          </w:p>
        </w:tc>
        <w:tc>
          <w:tcPr>
            <w:tcW w:w="1034" w:type="dxa"/>
            <w:tcMar>
              <w:left w:w="85" w:type="dxa"/>
              <w:right w:w="85" w:type="dxa"/>
            </w:tcMar>
            <w:vAlign w:val="center"/>
          </w:tcPr>
          <w:p w14:paraId="22BE3AB5">
            <w:pPr>
              <w:jc w:val="center"/>
              <w:rPr>
                <w:rFonts w:ascii="Times New Roman" w:hAnsi="Times New Roman" w:cs="Times New Roman"/>
                <w:b/>
                <w:sz w:val="18"/>
                <w:szCs w:val="18"/>
              </w:rPr>
            </w:pPr>
            <w:r>
              <w:rPr>
                <w:rFonts w:hint="eastAsia" w:ascii="Times New Roman" w:hAnsi="Times New Roman" w:cs="宋体"/>
                <w:b/>
                <w:sz w:val="18"/>
                <w:szCs w:val="18"/>
              </w:rPr>
              <w:t>安全间隔期（天）</w:t>
            </w:r>
          </w:p>
        </w:tc>
      </w:tr>
      <w:tr w14:paraId="3E8BAE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711" w:hRule="exact"/>
        </w:trPr>
        <w:tc>
          <w:tcPr>
            <w:tcW w:w="1271" w:type="dxa"/>
            <w:tcMar>
              <w:left w:w="85" w:type="dxa"/>
              <w:right w:w="85" w:type="dxa"/>
            </w:tcMar>
            <w:vAlign w:val="center"/>
          </w:tcPr>
          <w:p w14:paraId="4A5C3624">
            <w:pPr>
              <w:jc w:val="center"/>
              <w:rPr>
                <w:rFonts w:ascii="Times New Roman" w:hAnsi="Times New Roman" w:cs="Times New Roman"/>
                <w:sz w:val="18"/>
                <w:szCs w:val="18"/>
              </w:rPr>
            </w:pPr>
            <w:r>
              <w:rPr>
                <w:rFonts w:hint="eastAsia" w:ascii="Times New Roman" w:hAnsi="Times New Roman" w:cs="宋体"/>
                <w:sz w:val="18"/>
                <w:szCs w:val="18"/>
              </w:rPr>
              <w:t>蚜虫类、</w:t>
            </w:r>
            <w:r>
              <w:rPr>
                <w:rFonts w:hint="eastAsia" w:ascii="Times New Roman" w:hAnsi="Times New Roman" w:cs="宋体"/>
                <w:sz w:val="18"/>
                <w:szCs w:val="18"/>
                <w:shd w:val="clear" w:color="auto" w:fill="FFFFFF"/>
              </w:rPr>
              <w:t>螨虫类等</w:t>
            </w:r>
          </w:p>
        </w:tc>
        <w:tc>
          <w:tcPr>
            <w:tcW w:w="1985" w:type="dxa"/>
            <w:tcMar>
              <w:left w:w="85" w:type="dxa"/>
              <w:right w:w="85" w:type="dxa"/>
            </w:tcMar>
            <w:vAlign w:val="center"/>
          </w:tcPr>
          <w:p w14:paraId="5FC43FF5">
            <w:pPr>
              <w:jc w:val="center"/>
              <w:rPr>
                <w:rFonts w:ascii="Times New Roman" w:hAnsi="Times New Roman" w:cs="Times New Roman"/>
                <w:sz w:val="18"/>
                <w:szCs w:val="18"/>
              </w:rPr>
            </w:pPr>
            <w:r>
              <w:rPr>
                <w:rFonts w:hint="eastAsia" w:ascii="Times New Roman" w:hAnsi="Times New Roman" w:cs="Times New Roman"/>
                <w:sz w:val="18"/>
                <w:szCs w:val="18"/>
              </w:rPr>
              <w:t>发病前或发病初期施药</w:t>
            </w:r>
          </w:p>
        </w:tc>
        <w:tc>
          <w:tcPr>
            <w:tcW w:w="2126" w:type="dxa"/>
            <w:tcMar>
              <w:left w:w="85" w:type="dxa"/>
              <w:right w:w="85" w:type="dxa"/>
            </w:tcMar>
            <w:vAlign w:val="center"/>
          </w:tcPr>
          <w:p w14:paraId="1CF36DB1">
            <w:pPr>
              <w:jc w:val="center"/>
              <w:rPr>
                <w:rFonts w:ascii="Times New Roman" w:hAnsi="Times New Roman" w:cs="Times New Roman"/>
                <w:sz w:val="18"/>
                <w:szCs w:val="18"/>
                <w:shd w:val="clear" w:color="auto" w:fill="FFFFFF"/>
              </w:rPr>
            </w:pPr>
            <w:r>
              <w:rPr>
                <w:rFonts w:hint="eastAsia" w:ascii="Times New Roman" w:hAnsi="Times New Roman" w:cs="Times New Roman"/>
                <w:sz w:val="18"/>
                <w:szCs w:val="18"/>
                <w:shd w:val="clear" w:color="auto" w:fill="FFFFFF"/>
              </w:rPr>
              <w:t>40％</w:t>
            </w:r>
            <w:r>
              <w:rPr>
                <w:rFonts w:hint="eastAsia" w:ascii="Times New Roman" w:hAnsi="Times New Roman" w:cs="Times New Roman"/>
                <w:sz w:val="18"/>
                <w:szCs w:val="18"/>
              </w:rPr>
              <w:t>辛硫磷</w:t>
            </w:r>
            <w:r>
              <w:rPr>
                <w:rFonts w:hint="eastAsia" w:ascii="Times New Roman" w:hAnsi="Times New Roman" w:cs="Times New Roman"/>
                <w:sz w:val="18"/>
                <w:szCs w:val="18"/>
                <w:shd w:val="clear" w:color="auto" w:fill="FFFFFF"/>
              </w:rPr>
              <w:t>乳油</w:t>
            </w:r>
          </w:p>
        </w:tc>
        <w:tc>
          <w:tcPr>
            <w:tcW w:w="1559" w:type="dxa"/>
            <w:tcMar>
              <w:left w:w="85" w:type="dxa"/>
              <w:right w:w="85" w:type="dxa"/>
            </w:tcMar>
            <w:vAlign w:val="center"/>
          </w:tcPr>
          <w:p w14:paraId="305FB98C">
            <w:pPr>
              <w:jc w:val="center"/>
              <w:rPr>
                <w:rFonts w:ascii="Times New Roman" w:hAnsi="Times New Roman" w:cs="Times New Roman"/>
                <w:sz w:val="18"/>
                <w:szCs w:val="18"/>
                <w:shd w:val="clear" w:color="auto" w:fill="FFFFFF"/>
              </w:rPr>
            </w:pPr>
            <w:r>
              <w:rPr>
                <w:rFonts w:hint="eastAsia" w:ascii="Times New Roman" w:hAnsi="Times New Roman" w:cs="Times New Roman"/>
                <w:sz w:val="18"/>
                <w:szCs w:val="18"/>
                <w:shd w:val="clear" w:color="auto" w:fill="FFFFFF"/>
              </w:rPr>
              <w:t>1000～2000倍液</w:t>
            </w:r>
          </w:p>
        </w:tc>
        <w:tc>
          <w:tcPr>
            <w:tcW w:w="709" w:type="dxa"/>
            <w:tcMar>
              <w:left w:w="85" w:type="dxa"/>
              <w:right w:w="85" w:type="dxa"/>
            </w:tcMar>
            <w:vAlign w:val="center"/>
          </w:tcPr>
          <w:p w14:paraId="05A10E12">
            <w:pPr>
              <w:jc w:val="center"/>
              <w:rPr>
                <w:rFonts w:ascii="Times New Roman" w:hAnsi="Times New Roman" w:cs="Times New Roman"/>
                <w:sz w:val="18"/>
                <w:szCs w:val="18"/>
                <w:shd w:val="clear" w:color="auto" w:fill="FFFFFF"/>
              </w:rPr>
            </w:pPr>
            <w:r>
              <w:rPr>
                <w:rFonts w:hint="eastAsia" w:ascii="Times New Roman" w:hAnsi="Times New Roman" w:cs="宋体"/>
                <w:sz w:val="18"/>
                <w:szCs w:val="18"/>
              </w:rPr>
              <w:t>喷雾</w:t>
            </w:r>
          </w:p>
        </w:tc>
        <w:tc>
          <w:tcPr>
            <w:tcW w:w="1034" w:type="dxa"/>
            <w:tcMar>
              <w:left w:w="85" w:type="dxa"/>
              <w:right w:w="85" w:type="dxa"/>
            </w:tcMar>
            <w:vAlign w:val="center"/>
          </w:tcPr>
          <w:p w14:paraId="3D88A376">
            <w:pPr>
              <w:jc w:val="center"/>
              <w:rPr>
                <w:rFonts w:ascii="Times New Roman" w:hAnsi="Times New Roman" w:cs="Times New Roman"/>
                <w:sz w:val="18"/>
                <w:szCs w:val="18"/>
              </w:rPr>
            </w:pPr>
            <w:r>
              <w:rPr>
                <w:rFonts w:hint="eastAsia" w:ascii="Times New Roman" w:hAnsi="Times New Roman" w:cs="Times New Roman"/>
                <w:sz w:val="18"/>
                <w:szCs w:val="18"/>
              </w:rPr>
              <w:t>7</w:t>
            </w:r>
          </w:p>
        </w:tc>
      </w:tr>
      <w:tr w14:paraId="5A02F6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906" w:hRule="exact"/>
        </w:trPr>
        <w:tc>
          <w:tcPr>
            <w:tcW w:w="1271" w:type="dxa"/>
            <w:tcMar>
              <w:left w:w="85" w:type="dxa"/>
              <w:right w:w="85" w:type="dxa"/>
            </w:tcMar>
            <w:vAlign w:val="center"/>
          </w:tcPr>
          <w:p w14:paraId="7B97D739">
            <w:pPr>
              <w:jc w:val="center"/>
              <w:rPr>
                <w:rFonts w:ascii="Times New Roman" w:hAnsi="Times New Roman" w:cs="宋体"/>
                <w:sz w:val="18"/>
                <w:szCs w:val="18"/>
              </w:rPr>
            </w:pPr>
            <w:r>
              <w:rPr>
                <w:rFonts w:hint="eastAsia" w:ascii="Times New Roman" w:hAnsi="Times New Roman" w:cs="宋体"/>
                <w:sz w:val="18"/>
                <w:szCs w:val="18"/>
              </w:rPr>
              <w:t>小黄卷叶蛾类、枯叶蛾皮细蛾类</w:t>
            </w:r>
          </w:p>
        </w:tc>
        <w:tc>
          <w:tcPr>
            <w:tcW w:w="1985" w:type="dxa"/>
            <w:tcMar>
              <w:left w:w="85" w:type="dxa"/>
              <w:right w:w="85" w:type="dxa"/>
            </w:tcMar>
            <w:vAlign w:val="center"/>
          </w:tcPr>
          <w:p w14:paraId="74FE4653">
            <w:pPr>
              <w:jc w:val="center"/>
              <w:rPr>
                <w:rFonts w:ascii="Times New Roman" w:hAnsi="Times New Roman" w:cs="Times New Roman"/>
                <w:sz w:val="18"/>
                <w:szCs w:val="18"/>
              </w:rPr>
            </w:pPr>
            <w:r>
              <w:rPr>
                <w:rFonts w:hint="eastAsia" w:ascii="Times New Roman" w:hAnsi="Times New Roman" w:cs="Times New Roman"/>
                <w:sz w:val="18"/>
                <w:szCs w:val="18"/>
              </w:rPr>
              <w:t>害虫高发期用药</w:t>
            </w:r>
          </w:p>
        </w:tc>
        <w:tc>
          <w:tcPr>
            <w:tcW w:w="2126" w:type="dxa"/>
            <w:tcMar>
              <w:left w:w="85" w:type="dxa"/>
              <w:right w:w="85" w:type="dxa"/>
            </w:tcMar>
            <w:vAlign w:val="center"/>
          </w:tcPr>
          <w:p w14:paraId="39EB68BD">
            <w:pPr>
              <w:jc w:val="center"/>
              <w:rPr>
                <w:rFonts w:ascii="Times New Roman" w:hAnsi="Times New Roman" w:cs="Times New Roman"/>
                <w:sz w:val="18"/>
                <w:szCs w:val="18"/>
                <w:shd w:val="clear" w:color="auto" w:fill="FFFFFF"/>
              </w:rPr>
            </w:pPr>
            <w:r>
              <w:rPr>
                <w:rFonts w:hint="eastAsia" w:ascii="Times New Roman" w:hAnsi="Times New Roman" w:cs="Times New Roman"/>
                <w:sz w:val="18"/>
                <w:szCs w:val="18"/>
                <w:shd w:val="clear" w:color="auto" w:fill="FFFFFF"/>
              </w:rPr>
              <w:t>18％杀虫双水剂</w:t>
            </w:r>
          </w:p>
        </w:tc>
        <w:tc>
          <w:tcPr>
            <w:tcW w:w="1559" w:type="dxa"/>
            <w:tcMar>
              <w:left w:w="85" w:type="dxa"/>
              <w:right w:w="85" w:type="dxa"/>
            </w:tcMar>
            <w:vAlign w:val="center"/>
          </w:tcPr>
          <w:p w14:paraId="7D111843">
            <w:pPr>
              <w:jc w:val="center"/>
              <w:rPr>
                <w:rFonts w:ascii="Times New Roman" w:hAnsi="Times New Roman" w:cs="Times New Roman"/>
                <w:sz w:val="18"/>
                <w:szCs w:val="18"/>
                <w:shd w:val="clear" w:color="auto" w:fill="FFFFFF"/>
              </w:rPr>
            </w:pPr>
            <w:r>
              <w:rPr>
                <w:rFonts w:hint="eastAsia" w:ascii="Times New Roman" w:hAnsi="Times New Roman" w:cs="Times New Roman"/>
                <w:sz w:val="18"/>
                <w:szCs w:val="18"/>
                <w:shd w:val="clear" w:color="auto" w:fill="FFFFFF"/>
              </w:rPr>
              <w:t>500～800倍</w:t>
            </w:r>
          </w:p>
        </w:tc>
        <w:tc>
          <w:tcPr>
            <w:tcW w:w="709" w:type="dxa"/>
            <w:tcMar>
              <w:left w:w="85" w:type="dxa"/>
              <w:right w:w="85" w:type="dxa"/>
            </w:tcMar>
            <w:vAlign w:val="center"/>
          </w:tcPr>
          <w:p w14:paraId="70BDEACC">
            <w:pPr>
              <w:jc w:val="center"/>
              <w:rPr>
                <w:rFonts w:ascii="Times New Roman" w:hAnsi="Times New Roman" w:cs="Times New Roman"/>
                <w:sz w:val="18"/>
                <w:szCs w:val="18"/>
                <w:shd w:val="clear" w:color="auto" w:fill="FFFFFF"/>
              </w:rPr>
            </w:pPr>
            <w:r>
              <w:rPr>
                <w:rFonts w:hint="eastAsia" w:ascii="Times New Roman" w:hAnsi="Times New Roman" w:cs="Times New Roman"/>
                <w:sz w:val="18"/>
                <w:szCs w:val="18"/>
                <w:shd w:val="clear" w:color="auto" w:fill="FFFFFF"/>
              </w:rPr>
              <w:t>喷雾</w:t>
            </w:r>
          </w:p>
        </w:tc>
        <w:tc>
          <w:tcPr>
            <w:tcW w:w="1034" w:type="dxa"/>
            <w:tcMar>
              <w:left w:w="85" w:type="dxa"/>
              <w:right w:w="85" w:type="dxa"/>
            </w:tcMar>
            <w:vAlign w:val="center"/>
          </w:tcPr>
          <w:p w14:paraId="478613AC">
            <w:pPr>
              <w:jc w:val="center"/>
              <w:rPr>
                <w:rFonts w:ascii="Times New Roman" w:hAnsi="Times New Roman" w:cs="Times New Roman"/>
                <w:sz w:val="18"/>
                <w:szCs w:val="18"/>
                <w:shd w:val="clear" w:color="auto" w:fill="FFFFFF"/>
              </w:rPr>
            </w:pPr>
            <w:r>
              <w:rPr>
                <w:rFonts w:hint="eastAsia" w:ascii="Times New Roman" w:hAnsi="Times New Roman" w:cs="Times New Roman"/>
                <w:sz w:val="18"/>
                <w:szCs w:val="18"/>
                <w:shd w:val="clear" w:color="auto" w:fill="FFFFFF"/>
              </w:rPr>
              <w:t>15</w:t>
            </w:r>
          </w:p>
        </w:tc>
      </w:tr>
      <w:tr w14:paraId="74FF18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64" w:hRule="exact"/>
        </w:trPr>
        <w:tc>
          <w:tcPr>
            <w:tcW w:w="1271" w:type="dxa"/>
            <w:vMerge w:val="restart"/>
            <w:tcMar>
              <w:left w:w="85" w:type="dxa"/>
              <w:right w:w="85" w:type="dxa"/>
            </w:tcMar>
            <w:vAlign w:val="center"/>
          </w:tcPr>
          <w:p w14:paraId="07F99FBC">
            <w:pPr>
              <w:jc w:val="center"/>
              <w:rPr>
                <w:rFonts w:ascii="Times New Roman" w:hAnsi="Times New Roman" w:cs="Times New Roman"/>
                <w:sz w:val="18"/>
                <w:szCs w:val="18"/>
              </w:rPr>
            </w:pPr>
            <w:r>
              <w:rPr>
                <w:rFonts w:hint="eastAsia" w:ascii="Times New Roman" w:hAnsi="Times New Roman" w:cs="宋体"/>
                <w:sz w:val="18"/>
                <w:szCs w:val="18"/>
              </w:rPr>
              <w:t>叶斑病、灰斑病</w:t>
            </w:r>
          </w:p>
        </w:tc>
        <w:tc>
          <w:tcPr>
            <w:tcW w:w="1985" w:type="dxa"/>
            <w:vMerge w:val="restart"/>
            <w:tcMar>
              <w:left w:w="85" w:type="dxa"/>
              <w:right w:w="85" w:type="dxa"/>
            </w:tcMar>
            <w:vAlign w:val="center"/>
          </w:tcPr>
          <w:p w14:paraId="1EED1804">
            <w:pPr>
              <w:jc w:val="center"/>
              <w:rPr>
                <w:rFonts w:ascii="Times New Roman" w:hAnsi="Times New Roman" w:cs="Times New Roman"/>
                <w:sz w:val="18"/>
                <w:szCs w:val="18"/>
              </w:rPr>
            </w:pPr>
            <w:r>
              <w:rPr>
                <w:rFonts w:hint="eastAsia" w:ascii="Times New Roman" w:hAnsi="Times New Roman" w:cs="宋体"/>
                <w:sz w:val="18"/>
                <w:szCs w:val="18"/>
              </w:rPr>
              <w:t>春梢展叶、发病前或发病初期施药</w:t>
            </w:r>
          </w:p>
        </w:tc>
        <w:tc>
          <w:tcPr>
            <w:tcW w:w="2126" w:type="dxa"/>
            <w:tcMar>
              <w:left w:w="85" w:type="dxa"/>
              <w:right w:w="85" w:type="dxa"/>
            </w:tcMar>
            <w:vAlign w:val="center"/>
          </w:tcPr>
          <w:p w14:paraId="54DAA32A">
            <w:pPr>
              <w:jc w:val="center"/>
              <w:rPr>
                <w:rFonts w:ascii="Times New Roman" w:hAnsi="Times New Roman" w:cs="Times New Roman"/>
                <w:sz w:val="18"/>
                <w:szCs w:val="18"/>
                <w:shd w:val="clear" w:color="auto" w:fill="FFFFFF"/>
              </w:rPr>
            </w:pPr>
            <w:r>
              <w:rPr>
                <w:rFonts w:hint="eastAsia" w:ascii="Times New Roman" w:hAnsi="Times New Roman" w:cs="Times New Roman"/>
                <w:sz w:val="18"/>
                <w:szCs w:val="18"/>
                <w:shd w:val="clear" w:color="auto" w:fill="FFFFFF"/>
              </w:rPr>
              <w:t>25</w:t>
            </w:r>
            <w:r>
              <w:rPr>
                <w:rFonts w:ascii="Times New Roman" w:hAnsi="Times New Roman" w:cs="Times New Roman"/>
                <w:sz w:val="18"/>
                <w:szCs w:val="18"/>
                <w:shd w:val="clear" w:color="auto" w:fill="FFFFFF"/>
              </w:rPr>
              <w:t>%</w:t>
            </w:r>
            <w:r>
              <w:rPr>
                <w:rFonts w:hint="eastAsia" w:ascii="Times New Roman" w:hAnsi="Times New Roman" w:cs="Times New Roman"/>
                <w:sz w:val="18"/>
                <w:szCs w:val="18"/>
                <w:shd w:val="clear" w:color="auto" w:fill="FFFFFF"/>
              </w:rPr>
              <w:t>多菌灵</w:t>
            </w:r>
            <w:r>
              <w:rPr>
                <w:rFonts w:hint="eastAsia" w:ascii="Times New Roman" w:hAnsi="Times New Roman" w:cs="宋体"/>
                <w:sz w:val="18"/>
                <w:szCs w:val="18"/>
                <w:shd w:val="clear" w:color="auto" w:fill="FFFFFF"/>
              </w:rPr>
              <w:t>可湿性粉剂</w:t>
            </w:r>
          </w:p>
        </w:tc>
        <w:tc>
          <w:tcPr>
            <w:tcW w:w="1559" w:type="dxa"/>
            <w:tcMar>
              <w:left w:w="85" w:type="dxa"/>
              <w:right w:w="85" w:type="dxa"/>
            </w:tcMar>
            <w:vAlign w:val="center"/>
          </w:tcPr>
          <w:p w14:paraId="0FD0EC27">
            <w:pPr>
              <w:jc w:val="center"/>
              <w:rPr>
                <w:rFonts w:ascii="Times New Roman" w:hAnsi="Times New Roman" w:cs="Times New Roman"/>
                <w:sz w:val="18"/>
                <w:szCs w:val="18"/>
              </w:rPr>
            </w:pPr>
            <w:r>
              <w:rPr>
                <w:rFonts w:hint="eastAsia" w:ascii="Times New Roman" w:hAnsi="Times New Roman" w:cs="Times New Roman"/>
                <w:sz w:val="18"/>
                <w:szCs w:val="18"/>
              </w:rPr>
              <w:t>2500</w:t>
            </w:r>
            <w:r>
              <w:rPr>
                <w:rFonts w:ascii="Times New Roman" w:hAnsi="Times New Roman" w:cs="Times New Roman"/>
                <w:sz w:val="18"/>
                <w:szCs w:val="18"/>
              </w:rPr>
              <w:t>~</w:t>
            </w:r>
            <w:r>
              <w:rPr>
                <w:rFonts w:hint="eastAsia" w:ascii="Times New Roman" w:hAnsi="Times New Roman" w:cs="Times New Roman"/>
                <w:sz w:val="18"/>
                <w:szCs w:val="18"/>
              </w:rPr>
              <w:t>5000倍</w:t>
            </w:r>
          </w:p>
        </w:tc>
        <w:tc>
          <w:tcPr>
            <w:tcW w:w="709" w:type="dxa"/>
            <w:tcMar>
              <w:left w:w="85" w:type="dxa"/>
              <w:right w:w="85" w:type="dxa"/>
            </w:tcMar>
            <w:vAlign w:val="center"/>
          </w:tcPr>
          <w:p w14:paraId="6A914F77">
            <w:pPr>
              <w:jc w:val="center"/>
              <w:rPr>
                <w:rFonts w:ascii="Times New Roman" w:hAnsi="Times New Roman" w:cs="Times New Roman"/>
                <w:sz w:val="18"/>
                <w:szCs w:val="18"/>
              </w:rPr>
            </w:pPr>
            <w:r>
              <w:rPr>
                <w:rFonts w:hint="eastAsia" w:ascii="Times New Roman" w:hAnsi="Times New Roman" w:cs="宋体"/>
                <w:sz w:val="18"/>
                <w:szCs w:val="18"/>
              </w:rPr>
              <w:t>喷雾</w:t>
            </w:r>
          </w:p>
        </w:tc>
        <w:tc>
          <w:tcPr>
            <w:tcW w:w="1034" w:type="dxa"/>
            <w:tcMar>
              <w:left w:w="85" w:type="dxa"/>
              <w:right w:w="85" w:type="dxa"/>
            </w:tcMar>
            <w:vAlign w:val="center"/>
          </w:tcPr>
          <w:p w14:paraId="397DBA4B">
            <w:pPr>
              <w:jc w:val="center"/>
              <w:rPr>
                <w:rFonts w:ascii="Times New Roman" w:hAnsi="Times New Roman" w:cs="Times New Roman"/>
                <w:sz w:val="18"/>
                <w:szCs w:val="18"/>
              </w:rPr>
            </w:pPr>
            <w:r>
              <w:rPr>
                <w:rFonts w:hint="eastAsia" w:ascii="Times New Roman" w:hAnsi="Times New Roman" w:cs="Times New Roman"/>
                <w:sz w:val="18"/>
                <w:szCs w:val="18"/>
              </w:rPr>
              <w:t>28</w:t>
            </w:r>
          </w:p>
        </w:tc>
      </w:tr>
      <w:tr w14:paraId="319F37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64" w:hRule="exact"/>
        </w:trPr>
        <w:tc>
          <w:tcPr>
            <w:tcW w:w="1271" w:type="dxa"/>
            <w:vMerge w:val="continue"/>
            <w:tcMar>
              <w:left w:w="85" w:type="dxa"/>
              <w:right w:w="85" w:type="dxa"/>
            </w:tcMar>
            <w:vAlign w:val="center"/>
          </w:tcPr>
          <w:p w14:paraId="687EA9A7">
            <w:pPr>
              <w:jc w:val="center"/>
              <w:rPr>
                <w:rFonts w:ascii="Times New Roman" w:hAnsi="Times New Roman" w:cs="宋体"/>
                <w:sz w:val="18"/>
                <w:szCs w:val="18"/>
              </w:rPr>
            </w:pPr>
          </w:p>
        </w:tc>
        <w:tc>
          <w:tcPr>
            <w:tcW w:w="1985" w:type="dxa"/>
            <w:vMerge w:val="continue"/>
            <w:tcMar>
              <w:left w:w="85" w:type="dxa"/>
              <w:right w:w="85" w:type="dxa"/>
            </w:tcMar>
            <w:vAlign w:val="center"/>
          </w:tcPr>
          <w:p w14:paraId="6BEFCADE">
            <w:pPr>
              <w:jc w:val="center"/>
              <w:rPr>
                <w:rFonts w:ascii="Times New Roman" w:hAnsi="Times New Roman" w:cs="宋体"/>
                <w:sz w:val="18"/>
                <w:szCs w:val="18"/>
              </w:rPr>
            </w:pPr>
          </w:p>
        </w:tc>
        <w:tc>
          <w:tcPr>
            <w:tcW w:w="2126" w:type="dxa"/>
            <w:tcMar>
              <w:left w:w="85" w:type="dxa"/>
              <w:right w:w="85" w:type="dxa"/>
            </w:tcMar>
            <w:vAlign w:val="center"/>
          </w:tcPr>
          <w:p w14:paraId="669A6C2F">
            <w:pPr>
              <w:jc w:val="center"/>
              <w:rPr>
                <w:rFonts w:ascii="Times New Roman" w:hAnsi="Times New Roman" w:cs="Times New Roman"/>
                <w:sz w:val="18"/>
                <w:szCs w:val="18"/>
                <w:shd w:val="clear" w:color="auto" w:fill="FFFFFF"/>
              </w:rPr>
            </w:pPr>
            <w:r>
              <w:rPr>
                <w:rFonts w:hint="eastAsia" w:ascii="Times New Roman" w:hAnsi="Times New Roman" w:cs="Times New Roman"/>
                <w:sz w:val="18"/>
                <w:szCs w:val="18"/>
                <w:shd w:val="clear" w:color="auto" w:fill="FFFFFF"/>
              </w:rPr>
              <w:t>50%硫磺悬浮剂</w:t>
            </w:r>
          </w:p>
        </w:tc>
        <w:tc>
          <w:tcPr>
            <w:tcW w:w="1559" w:type="dxa"/>
            <w:tcMar>
              <w:left w:w="85" w:type="dxa"/>
              <w:right w:w="85" w:type="dxa"/>
            </w:tcMar>
            <w:vAlign w:val="center"/>
          </w:tcPr>
          <w:p w14:paraId="5FC5E059">
            <w:pPr>
              <w:jc w:val="center"/>
              <w:rPr>
                <w:rFonts w:ascii="Times New Roman" w:hAnsi="Times New Roman" w:cs="Times New Roman"/>
                <w:sz w:val="18"/>
                <w:szCs w:val="18"/>
              </w:rPr>
            </w:pPr>
            <w:r>
              <w:rPr>
                <w:rFonts w:hint="eastAsia" w:ascii="Times New Roman" w:hAnsi="Times New Roman" w:cs="Times New Roman"/>
                <w:sz w:val="18"/>
                <w:szCs w:val="18"/>
              </w:rPr>
              <w:t>200</w:t>
            </w:r>
            <w:r>
              <w:rPr>
                <w:rFonts w:ascii="Times New Roman" w:hAnsi="Times New Roman" w:cs="Times New Roman"/>
                <w:sz w:val="18"/>
                <w:szCs w:val="18"/>
              </w:rPr>
              <w:t>~</w:t>
            </w:r>
            <w:r>
              <w:rPr>
                <w:rFonts w:hint="eastAsia" w:ascii="Times New Roman" w:hAnsi="Times New Roman" w:cs="Times New Roman"/>
                <w:sz w:val="18"/>
                <w:szCs w:val="18"/>
              </w:rPr>
              <w:t>400倍</w:t>
            </w:r>
          </w:p>
        </w:tc>
        <w:tc>
          <w:tcPr>
            <w:tcW w:w="709" w:type="dxa"/>
            <w:tcMar>
              <w:left w:w="85" w:type="dxa"/>
              <w:right w:w="85" w:type="dxa"/>
            </w:tcMar>
            <w:vAlign w:val="center"/>
          </w:tcPr>
          <w:p w14:paraId="049EEDCD">
            <w:pPr>
              <w:jc w:val="center"/>
              <w:rPr>
                <w:rFonts w:ascii="Times New Roman" w:hAnsi="Times New Roman" w:cs="宋体"/>
                <w:sz w:val="18"/>
                <w:szCs w:val="18"/>
              </w:rPr>
            </w:pPr>
            <w:r>
              <w:rPr>
                <w:rFonts w:hint="eastAsia" w:ascii="Times New Roman" w:hAnsi="Times New Roman" w:cs="宋体"/>
                <w:sz w:val="18"/>
                <w:szCs w:val="18"/>
              </w:rPr>
              <w:t>喷雾</w:t>
            </w:r>
          </w:p>
        </w:tc>
        <w:tc>
          <w:tcPr>
            <w:tcW w:w="1034" w:type="dxa"/>
            <w:tcMar>
              <w:left w:w="85" w:type="dxa"/>
              <w:right w:w="85" w:type="dxa"/>
            </w:tcMar>
            <w:vAlign w:val="center"/>
          </w:tcPr>
          <w:p w14:paraId="19E8A393">
            <w:pPr>
              <w:jc w:val="center"/>
              <w:rPr>
                <w:rFonts w:ascii="Times New Roman" w:hAnsi="Times New Roman" w:cs="Times New Roman"/>
                <w:sz w:val="18"/>
                <w:szCs w:val="18"/>
              </w:rPr>
            </w:pPr>
            <w:r>
              <w:rPr>
                <w:rFonts w:hint="eastAsia" w:ascii="Times New Roman" w:hAnsi="Times New Roman" w:cs="Times New Roman"/>
                <w:sz w:val="18"/>
                <w:szCs w:val="18"/>
              </w:rPr>
              <w:t>10</w:t>
            </w:r>
          </w:p>
        </w:tc>
      </w:tr>
      <w:tr w14:paraId="60E492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886" w:hRule="exact"/>
        </w:trPr>
        <w:tc>
          <w:tcPr>
            <w:tcW w:w="1271" w:type="dxa"/>
            <w:tcMar>
              <w:left w:w="85" w:type="dxa"/>
              <w:right w:w="85" w:type="dxa"/>
            </w:tcMar>
            <w:vAlign w:val="center"/>
          </w:tcPr>
          <w:p w14:paraId="2558A3D1">
            <w:pPr>
              <w:jc w:val="center"/>
            </w:pPr>
            <w:r>
              <w:rPr>
                <w:rFonts w:hint="eastAsia" w:ascii="Times New Roman" w:hAnsi="Times New Roman" w:cs="宋体"/>
                <w:sz w:val="18"/>
                <w:szCs w:val="18"/>
              </w:rPr>
              <w:t>炭疽病</w:t>
            </w:r>
          </w:p>
        </w:tc>
        <w:tc>
          <w:tcPr>
            <w:tcW w:w="1985" w:type="dxa"/>
            <w:tcMar>
              <w:left w:w="85" w:type="dxa"/>
              <w:right w:w="85" w:type="dxa"/>
            </w:tcMar>
            <w:vAlign w:val="center"/>
          </w:tcPr>
          <w:p w14:paraId="0A81D89E">
            <w:pPr>
              <w:jc w:val="center"/>
            </w:pPr>
            <w:r>
              <w:rPr>
                <w:rFonts w:hint="eastAsia" w:ascii="Times New Roman" w:hAnsi="Times New Roman" w:cs="宋体"/>
                <w:sz w:val="18"/>
                <w:szCs w:val="18"/>
              </w:rPr>
              <w:t>新梢展叶或发病初期和防治</w:t>
            </w:r>
          </w:p>
        </w:tc>
        <w:tc>
          <w:tcPr>
            <w:tcW w:w="2126" w:type="dxa"/>
            <w:tcMar>
              <w:left w:w="85" w:type="dxa"/>
              <w:right w:w="85" w:type="dxa"/>
            </w:tcMar>
            <w:vAlign w:val="center"/>
          </w:tcPr>
          <w:p w14:paraId="39DFF818">
            <w:pPr>
              <w:jc w:val="center"/>
              <w:rPr>
                <w:rFonts w:ascii="Times New Roman" w:hAnsi="Times New Roman" w:cs="Times New Roman"/>
                <w:sz w:val="18"/>
                <w:szCs w:val="18"/>
              </w:rPr>
            </w:pPr>
            <w:r>
              <w:rPr>
                <w:rFonts w:hint="eastAsia" w:ascii="Times New Roman" w:hAnsi="Times New Roman" w:cs="Times New Roman"/>
                <w:sz w:val="18"/>
                <w:szCs w:val="18"/>
              </w:rPr>
              <w:t>25</w:t>
            </w:r>
            <w:r>
              <w:rPr>
                <w:rFonts w:ascii="Times New Roman" w:hAnsi="Times New Roman" w:cs="Times New Roman"/>
                <w:sz w:val="18"/>
                <w:szCs w:val="18"/>
              </w:rPr>
              <w:t>%</w:t>
            </w:r>
            <w:r>
              <w:rPr>
                <w:rFonts w:hint="eastAsia" w:ascii="Times New Roman" w:hAnsi="Times New Roman" w:cs="宋体"/>
                <w:sz w:val="18"/>
                <w:szCs w:val="18"/>
                <w:shd w:val="clear" w:color="auto" w:fill="FFFFFF"/>
              </w:rPr>
              <w:t>多菌灵可湿性粉剂</w:t>
            </w:r>
          </w:p>
        </w:tc>
        <w:tc>
          <w:tcPr>
            <w:tcW w:w="1559" w:type="dxa"/>
            <w:tcMar>
              <w:left w:w="85" w:type="dxa"/>
              <w:right w:w="85" w:type="dxa"/>
            </w:tcMar>
            <w:vAlign w:val="center"/>
          </w:tcPr>
          <w:p w14:paraId="61AD0241">
            <w:pPr>
              <w:jc w:val="center"/>
              <w:rPr>
                <w:rFonts w:ascii="Times New Roman" w:hAnsi="Times New Roman" w:cs="Times New Roman"/>
                <w:sz w:val="18"/>
                <w:szCs w:val="18"/>
                <w:shd w:val="clear" w:color="auto" w:fill="FFFFFF"/>
              </w:rPr>
            </w:pPr>
            <w:r>
              <w:rPr>
                <w:rFonts w:hint="eastAsia" w:ascii="Times New Roman" w:hAnsi="Times New Roman" w:cs="Times New Roman"/>
                <w:sz w:val="18"/>
                <w:szCs w:val="18"/>
              </w:rPr>
              <w:t>250</w:t>
            </w:r>
            <w:r>
              <w:rPr>
                <w:rFonts w:hint="eastAsia" w:ascii="Times New Roman" w:hAnsi="Times New Roman" w:cs="Times New Roman"/>
                <w:sz w:val="18"/>
                <w:szCs w:val="18"/>
                <w:shd w:val="clear" w:color="auto" w:fill="FFFFFF"/>
              </w:rPr>
              <w:t>～</w:t>
            </w:r>
            <w:r>
              <w:rPr>
                <w:rFonts w:hint="eastAsia" w:ascii="Times New Roman" w:hAnsi="Times New Roman" w:cs="Times New Roman"/>
                <w:sz w:val="18"/>
                <w:szCs w:val="18"/>
              </w:rPr>
              <w:t>500倍液</w:t>
            </w:r>
          </w:p>
        </w:tc>
        <w:tc>
          <w:tcPr>
            <w:tcW w:w="709" w:type="dxa"/>
            <w:tcMar>
              <w:left w:w="85" w:type="dxa"/>
              <w:right w:w="85" w:type="dxa"/>
            </w:tcMar>
            <w:vAlign w:val="center"/>
          </w:tcPr>
          <w:p w14:paraId="6F7CDFF3">
            <w:pPr>
              <w:jc w:val="center"/>
              <w:rPr>
                <w:rFonts w:ascii="Times New Roman" w:hAnsi="Times New Roman" w:cs="Times New Roman"/>
                <w:sz w:val="18"/>
                <w:szCs w:val="18"/>
              </w:rPr>
            </w:pPr>
            <w:r>
              <w:rPr>
                <w:rFonts w:hint="eastAsia" w:ascii="Times New Roman" w:hAnsi="Times New Roman" w:cs="宋体"/>
                <w:sz w:val="18"/>
                <w:szCs w:val="18"/>
              </w:rPr>
              <w:t>喷雾</w:t>
            </w:r>
          </w:p>
        </w:tc>
        <w:tc>
          <w:tcPr>
            <w:tcW w:w="1034" w:type="dxa"/>
            <w:tcMar>
              <w:left w:w="85" w:type="dxa"/>
              <w:right w:w="85" w:type="dxa"/>
            </w:tcMar>
            <w:vAlign w:val="center"/>
          </w:tcPr>
          <w:p w14:paraId="518C7190">
            <w:pPr>
              <w:jc w:val="center"/>
              <w:rPr>
                <w:rFonts w:ascii="Times New Roman" w:hAnsi="Times New Roman" w:cs="Times New Roman"/>
                <w:sz w:val="18"/>
                <w:szCs w:val="18"/>
              </w:rPr>
            </w:pPr>
            <w:r>
              <w:rPr>
                <w:rFonts w:ascii="Times New Roman" w:hAnsi="Times New Roman" w:cs="Times New Roman"/>
                <w:sz w:val="18"/>
                <w:szCs w:val="18"/>
              </w:rPr>
              <w:t>28</w:t>
            </w:r>
          </w:p>
        </w:tc>
      </w:tr>
      <w:tr w14:paraId="48320B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23" w:hRule="exact"/>
        </w:trPr>
        <w:tc>
          <w:tcPr>
            <w:tcW w:w="1271" w:type="dxa"/>
            <w:vAlign w:val="center"/>
          </w:tcPr>
          <w:p w14:paraId="26B2805D">
            <w:pPr>
              <w:ind w:firstLine="90" w:firstLineChars="50"/>
              <w:jc w:val="center"/>
              <w:rPr>
                <w:rFonts w:ascii="Times New Roman" w:hAnsi="Times New Roman" w:cs="Times New Roman"/>
                <w:sz w:val="18"/>
                <w:szCs w:val="18"/>
                <w:shd w:val="clear" w:color="auto" w:fill="FFFFFF"/>
              </w:rPr>
            </w:pPr>
            <w:r>
              <w:rPr>
                <w:rFonts w:hint="eastAsia" w:ascii="Times New Roman" w:hAnsi="Times New Roman" w:cs="宋体"/>
                <w:sz w:val="18"/>
                <w:szCs w:val="18"/>
              </w:rPr>
              <w:t>煤烟病</w:t>
            </w:r>
          </w:p>
        </w:tc>
        <w:tc>
          <w:tcPr>
            <w:tcW w:w="1985" w:type="dxa"/>
            <w:vAlign w:val="center"/>
          </w:tcPr>
          <w:p w14:paraId="06250491">
            <w:pPr>
              <w:jc w:val="center"/>
              <w:rPr>
                <w:rFonts w:ascii="Times New Roman" w:hAnsi="Times New Roman" w:cs="Times New Roman"/>
                <w:sz w:val="18"/>
                <w:szCs w:val="18"/>
                <w:shd w:val="clear" w:color="auto" w:fill="FFFFFF"/>
              </w:rPr>
            </w:pPr>
            <w:r>
              <w:rPr>
                <w:rFonts w:hint="eastAsia" w:ascii="Times New Roman" w:hAnsi="Times New Roman" w:cs="Times New Roman"/>
                <w:sz w:val="18"/>
                <w:szCs w:val="18"/>
              </w:rPr>
              <w:t>发病前期或初期</w:t>
            </w:r>
          </w:p>
        </w:tc>
        <w:tc>
          <w:tcPr>
            <w:tcW w:w="2126" w:type="dxa"/>
            <w:vAlign w:val="center"/>
          </w:tcPr>
          <w:p w14:paraId="1CE2537D">
            <w:pPr>
              <w:ind w:firstLine="90" w:firstLineChars="50"/>
              <w:jc w:val="center"/>
              <w:rPr>
                <w:rFonts w:ascii="Times New Roman" w:hAnsi="Times New Roman" w:cs="宋体"/>
                <w:sz w:val="18"/>
                <w:szCs w:val="18"/>
                <w:shd w:val="clear" w:color="auto" w:fill="FFFFFF"/>
              </w:rPr>
            </w:pPr>
            <w:r>
              <w:rPr>
                <w:rFonts w:hint="eastAsia" w:ascii="Times New Roman" w:hAnsi="Times New Roman" w:cs="宋体"/>
                <w:sz w:val="18"/>
                <w:szCs w:val="18"/>
                <w:shd w:val="clear" w:color="auto" w:fill="FFFFFF"/>
              </w:rPr>
              <w:t>25%多菌灵可湿性粉剂</w:t>
            </w:r>
          </w:p>
        </w:tc>
        <w:tc>
          <w:tcPr>
            <w:tcW w:w="1559" w:type="dxa"/>
            <w:vAlign w:val="center"/>
          </w:tcPr>
          <w:p w14:paraId="50A4F611">
            <w:pPr>
              <w:ind w:firstLine="90" w:firstLineChars="50"/>
              <w:jc w:val="center"/>
              <w:rPr>
                <w:rFonts w:ascii="Times New Roman" w:hAnsi="Times New Roman" w:cs="宋体"/>
                <w:sz w:val="18"/>
                <w:szCs w:val="18"/>
                <w:shd w:val="clear" w:color="auto" w:fill="FFFFFF"/>
              </w:rPr>
            </w:pPr>
            <w:r>
              <w:rPr>
                <w:rFonts w:hint="eastAsia" w:ascii="Times New Roman" w:hAnsi="Times New Roman" w:cs="宋体"/>
                <w:sz w:val="18"/>
                <w:szCs w:val="18"/>
                <w:shd w:val="clear" w:color="auto" w:fill="FFFFFF"/>
              </w:rPr>
              <w:t>2500～5000倍</w:t>
            </w:r>
          </w:p>
        </w:tc>
        <w:tc>
          <w:tcPr>
            <w:tcW w:w="709" w:type="dxa"/>
            <w:vAlign w:val="center"/>
          </w:tcPr>
          <w:p w14:paraId="7BB87187">
            <w:pPr>
              <w:ind w:firstLine="90" w:firstLineChars="50"/>
              <w:jc w:val="center"/>
              <w:rPr>
                <w:rFonts w:ascii="Times New Roman" w:hAnsi="Times New Roman" w:cs="宋体"/>
                <w:sz w:val="18"/>
                <w:szCs w:val="18"/>
                <w:shd w:val="clear" w:color="auto" w:fill="FFFFFF"/>
              </w:rPr>
            </w:pPr>
            <w:r>
              <w:rPr>
                <w:rFonts w:hint="eastAsia" w:ascii="Times New Roman" w:hAnsi="Times New Roman" w:cs="宋体"/>
                <w:sz w:val="18"/>
                <w:szCs w:val="18"/>
                <w:shd w:val="clear" w:color="auto" w:fill="FFFFFF"/>
              </w:rPr>
              <w:t>喷雾</w:t>
            </w:r>
          </w:p>
        </w:tc>
        <w:tc>
          <w:tcPr>
            <w:tcW w:w="1034" w:type="dxa"/>
            <w:vAlign w:val="center"/>
          </w:tcPr>
          <w:p w14:paraId="56F75623">
            <w:pPr>
              <w:ind w:firstLine="90" w:firstLineChars="50"/>
              <w:jc w:val="center"/>
              <w:rPr>
                <w:rFonts w:ascii="Times New Roman" w:hAnsi="Times New Roman" w:cs="宋体"/>
                <w:sz w:val="18"/>
                <w:szCs w:val="18"/>
                <w:shd w:val="clear" w:color="auto" w:fill="FFFFFF"/>
              </w:rPr>
            </w:pPr>
            <w:r>
              <w:rPr>
                <w:rFonts w:ascii="Times New Roman" w:hAnsi="Times New Roman" w:cs="宋体"/>
                <w:sz w:val="18"/>
                <w:szCs w:val="18"/>
                <w:shd w:val="clear" w:color="auto" w:fill="FFFFFF"/>
              </w:rPr>
              <w:t>28</w:t>
            </w:r>
          </w:p>
        </w:tc>
      </w:tr>
      <w:tr w14:paraId="706EB4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23" w:hRule="exact"/>
        </w:trPr>
        <w:tc>
          <w:tcPr>
            <w:tcW w:w="8684" w:type="dxa"/>
            <w:gridSpan w:val="6"/>
            <w:vAlign w:val="center"/>
          </w:tcPr>
          <w:p w14:paraId="0317CCAD">
            <w:pPr>
              <w:ind w:firstLine="90" w:firstLineChars="50"/>
              <w:jc w:val="left"/>
              <w:rPr>
                <w:rFonts w:ascii="Times New Roman" w:hAnsi="Times New Roman" w:cs="宋体"/>
                <w:sz w:val="18"/>
                <w:szCs w:val="18"/>
                <w:shd w:val="clear" w:color="auto" w:fill="FFFFFF"/>
              </w:rPr>
            </w:pPr>
            <w:r>
              <w:rPr>
                <w:rFonts w:hint="eastAsia" w:ascii="Times New Roman" w:hAnsi="Times New Roman" w:cs="宋体"/>
                <w:sz w:val="18"/>
                <w:szCs w:val="18"/>
                <w:shd w:val="clear" w:color="auto" w:fill="FFFFFF"/>
              </w:rPr>
              <w:t>注：农药使用应以最新版本NY/T 393的规定为准。</w:t>
            </w:r>
          </w:p>
        </w:tc>
      </w:tr>
    </w:tbl>
    <w:p w14:paraId="21FD92EB">
      <w:pPr>
        <w:tabs>
          <w:tab w:val="left" w:pos="525"/>
        </w:tabs>
        <w:ind w:right="85"/>
        <w:rPr>
          <w:rFonts w:ascii="Times New Roman" w:hAnsi="Times New Roman" w:cs="宋体"/>
          <w:sz w:val="18"/>
          <w:szCs w:val="18"/>
          <w:shd w:val="clear" w:color="auto" w:fill="FFFFFF"/>
        </w:rPr>
      </w:pPr>
    </w:p>
    <w:p w14:paraId="1C28B42E">
      <w:pPr>
        <w:tabs>
          <w:tab w:val="left" w:pos="525"/>
        </w:tabs>
        <w:ind w:right="85"/>
        <w:rPr>
          <w:rFonts w:ascii="Times New Roman" w:hAnsi="Times New Roman" w:cs="宋体"/>
          <w:sz w:val="18"/>
          <w:szCs w:val="18"/>
          <w:shd w:val="clear" w:color="auto" w:fill="FFFFFF"/>
        </w:rPr>
      </w:pPr>
    </w:p>
    <w:p w14:paraId="686C0323">
      <w:pPr>
        <w:tabs>
          <w:tab w:val="left" w:pos="525"/>
        </w:tabs>
        <w:ind w:right="85"/>
        <w:rPr>
          <w:rFonts w:ascii="Times New Roman" w:hAnsi="Times New Roman" w:cs="宋体"/>
          <w:sz w:val="18"/>
          <w:szCs w:val="18"/>
          <w:shd w:val="clear" w:color="auto" w:fill="FFFFFF"/>
        </w:rPr>
      </w:pPr>
      <w:r>
        <w:rPr>
          <w:rFonts w:hint="eastAsia" w:ascii="Times New Roman" w:hAnsi="Times New Roman" w:cs="宋体"/>
          <w:sz w:val="18"/>
          <w:szCs w:val="18"/>
        </w:rPr>
        <mc:AlternateContent>
          <mc:Choice Requires="wps">
            <w:drawing>
              <wp:anchor distT="0" distB="0" distL="114300" distR="114300" simplePos="0" relativeHeight="251660288" behindDoc="0" locked="0" layoutInCell="1" allowOverlap="1">
                <wp:simplePos x="0" y="0"/>
                <wp:positionH relativeFrom="column">
                  <wp:posOffset>1962150</wp:posOffset>
                </wp:positionH>
                <wp:positionV relativeFrom="paragraph">
                  <wp:posOffset>107315</wp:posOffset>
                </wp:positionV>
                <wp:extent cx="1471930" cy="0"/>
                <wp:effectExtent l="0" t="0" r="33020" b="19050"/>
                <wp:wrapNone/>
                <wp:docPr id="5" name="直接连接符 5"/>
                <wp:cNvGraphicFramePr/>
                <a:graphic xmlns:a="http://schemas.openxmlformats.org/drawingml/2006/main">
                  <a:graphicData uri="http://schemas.microsoft.com/office/word/2010/wordprocessingShape">
                    <wps:wsp>
                      <wps:cNvCnPr/>
                      <wps:spPr>
                        <a:xfrm>
                          <a:off x="0" y="0"/>
                          <a:ext cx="1471961"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154.5pt;margin-top:8.45pt;height:0pt;width:115.9pt;z-index:251660288;mso-width-relative:page;mso-height-relative:page;" filled="f" stroked="t" coordsize="21600,21600" o:gfxdata="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">
                <v:fill on="f" focussize="0,0"/>
                <v:stroke color="#000000 [3213]" joinstyle="round"/>
                <v:imagedata o:title=""/>
                <o:lock v:ext="edit" aspectratio="f"/>
              </v:line>
            </w:pict>
          </mc:Fallback>
        </mc:AlternateContent>
      </w:r>
    </w:p>
    <w:sectPr>
      <w:pgSz w:w="11910" w:h="16840"/>
      <w:pgMar w:top="1440" w:right="1800" w:bottom="1440" w:left="1800" w:header="1448" w:footer="1141" w:gutter="0"/>
      <w:cols w:space="720" w:num="1"/>
      <w:docGrid w:linePitch="28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416909">
    <w:pPr>
      <w:pStyle w:val="7"/>
      <w:jc w:val="right"/>
      <w:rPr>
        <w:rFonts w:cs="Times New Roman"/>
      </w:rPr>
    </w:pPr>
  </w:p>
  <w:p w14:paraId="38FC2C82">
    <w:pPr>
      <w:pStyle w:val="7"/>
      <w:rPr>
        <w:rFonts w:cs="Times New Roman"/>
      </w:rPr>
    </w:pPr>
  </w:p>
  <w:p w14:paraId="5A759062">
    <w:pPr>
      <w:rPr>
        <w:rFonts w:cs="Times New Roma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C65499">
    <w:pPr>
      <w:pStyle w:val="7"/>
      <w:jc w:val="right"/>
      <w:rPr>
        <w:rFonts w:cs="Times New Roman"/>
      </w:rPr>
    </w:pPr>
    <w:r>
      <w:fldChar w:fldCharType="begin"/>
    </w:r>
    <w:r>
      <w:instrText xml:space="preserve">PAGE   \* MERGEFORMAT</w:instrText>
    </w:r>
    <w:r>
      <w:fldChar w:fldCharType="separate"/>
    </w:r>
    <w:r>
      <w:rPr>
        <w:lang w:val="zh-CN"/>
      </w:rPr>
      <w:t>I</w:t>
    </w:r>
    <w:r>
      <w:rPr>
        <w:lang w:val="zh-CN"/>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435933">
    <w:pPr>
      <w:pStyle w:val="7"/>
      <w:jc w:val="right"/>
      <w:rPr>
        <w:rFonts w:cs="Times New Roman" w:asciiTheme="minorEastAsia" w:hAnsiTheme="minorEastAsia" w:eastAsiaTheme="minorEastAsia"/>
      </w:rPr>
    </w:pPr>
    <w:r>
      <w:rPr>
        <w:rFonts w:asciiTheme="minorEastAsia" w:hAnsiTheme="minorEastAsia" w:eastAsiaTheme="minorEastAsia"/>
      </w:rPr>
      <w:fldChar w:fldCharType="begin"/>
    </w:r>
    <w:r>
      <w:rPr>
        <w:rFonts w:asciiTheme="minorEastAsia" w:hAnsiTheme="minorEastAsia" w:eastAsiaTheme="minorEastAsia"/>
      </w:rPr>
      <w:instrText xml:space="preserve">PAGE   \* MERGEFORMAT</w:instrText>
    </w:r>
    <w:r>
      <w:rPr>
        <w:rFonts w:asciiTheme="minorEastAsia" w:hAnsiTheme="minorEastAsia" w:eastAsiaTheme="minorEastAsia"/>
      </w:rPr>
      <w:fldChar w:fldCharType="separate"/>
    </w:r>
    <w:r>
      <w:rPr>
        <w:rFonts w:asciiTheme="minorEastAsia" w:hAnsiTheme="minorEastAsia" w:eastAsiaTheme="minorEastAsia"/>
        <w:lang w:val="zh-CN"/>
      </w:rPr>
      <w:t>7</w:t>
    </w:r>
    <w:r>
      <w:rPr>
        <w:rFonts w:asciiTheme="minorEastAsia" w:hAnsiTheme="minorEastAsia" w:eastAsiaTheme="minorEastAsia"/>
        <w:lang w:val="zh-CN"/>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678153328"/>
      <w:docPartObj>
        <w:docPartGallery w:val="AutoText"/>
      </w:docPartObj>
    </w:sdtPr>
    <w:sdtContent>
      <w:p w14:paraId="4FF0AF8A">
        <w:pPr>
          <w:pStyle w:val="7"/>
        </w:pPr>
        <w:r>
          <w:fldChar w:fldCharType="begin"/>
        </w:r>
        <w:r>
          <w:instrText xml:space="preserve">PAGE   \* MERGEFORMAT</w:instrText>
        </w:r>
        <w:r>
          <w:fldChar w:fldCharType="separate"/>
        </w:r>
        <w:r>
          <w:rPr>
            <w:lang w:val="zh-CN"/>
          </w:rPr>
          <w:t>6</w:t>
        </w:r>
        <w:r>
          <w:fldChar w:fldCharType="end"/>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66B87F">
    <w:pPr>
      <w:pStyle w:val="8"/>
      <w:pBdr>
        <w:bottom w:val="none" w:color="auto" w:sz="0" w:space="0"/>
      </w:pBdr>
    </w:pPr>
    <w:r>
      <w:pict>
        <v:shape id="WordPictureWatermark23172421" o:spid="_x0000_s2051" o:spt="75" type="#_x0000_t75" style="position:absolute;left:0pt;height:387.2pt;width:415.45pt;mso-position-horizontal:center;mso-position-horizontal-relative:margin;mso-position-vertical:center;mso-position-vertical-relative:margin;z-index:-251655168;mso-width-relative:page;mso-height-relative:page;" filled="f" o:preferrelative="t" stroked="f" coordsize="21600,21600" o:allowincell="f">
          <v:path/>
          <v:fill on="f" focussize="0,0"/>
          <v:stroke on="f" joinstyle="miter"/>
          <v:imagedata r:id="rId1" gain="19661f" blacklevel="22938f" o:title="绿标png"/>
          <o:lock v:ext="edit" aspectratio="t"/>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E2D6A6">
    <w:pPr>
      <w:pStyle w:val="8"/>
    </w:pPr>
    <w:r>
      <w:pict>
        <v:shape id="WordPictureWatermark23172420" o:spid="_x0000_s2050" o:spt="75" type="#_x0000_t75" style="position:absolute;left:0pt;height:387.2pt;width:415.45pt;mso-position-horizontal:center;mso-position-horizontal-relative:margin;mso-position-vertical:center;mso-position-vertical-relative:margin;z-index:-251656192;mso-width-relative:page;mso-height-relative:page;" filled="f" o:preferrelative="t" stroked="f" coordsize="21600,21600" o:allowincell="f">
          <v:path/>
          <v:fill on="f" focussize="0,0"/>
          <v:stroke on="f" joinstyle="miter"/>
          <v:imagedata r:id="rId1" gain="19661f" blacklevel="22938f" o:title="绿标png"/>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1204CA">
    <w:pPr>
      <w:pStyle w:val="8"/>
    </w:pPr>
    <w:r>
      <w:pict>
        <v:shape id="WordPictureWatermark23172419" o:spid="_x0000_s2049" o:spt="75" type="#_x0000_t75" style="position:absolute;left:0pt;height:387.2pt;width:415.4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gain="19661f" blacklevel="22938f" o:title="绿标png"/>
          <o:lock v:ext="edit" aspectratio="t"/>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60B2D0">
    <w:pPr>
      <w:pStyle w:val="8"/>
      <w:pBdr>
        <w:bottom w:val="none" w:color="auto" w:sz="0" w:space="0"/>
      </w:pBdr>
    </w:pPr>
    <w:r>
      <w:pict>
        <v:shape id="WordPictureWatermark23172424" o:spid="_x0000_s2054" o:spt="75" type="#_x0000_t75" style="position:absolute;left:0pt;height:387.2pt;width:415.45pt;mso-position-horizontal:center;mso-position-horizontal-relative:margin;mso-position-vertical:center;mso-position-vertical-relative:margin;z-index:-251652096;mso-width-relative:page;mso-height-relative:page;" filled="f" o:preferrelative="t" stroked="f" coordsize="21600,21600" o:allowincell="f">
          <v:path/>
          <v:fill on="f" focussize="0,0"/>
          <v:stroke on="f" joinstyle="miter"/>
          <v:imagedata r:id="rId1" gain="19661f" blacklevel="22938f" o:title="绿标png"/>
          <o:lock v:ext="edit" aspectratio="t"/>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358302">
    <w:pPr>
      <w:pStyle w:val="8"/>
    </w:pPr>
    <w:r>
      <w:pict>
        <v:shape id="WordPictureWatermark23172423" o:spid="_x0000_s2053" o:spt="75" type="#_x0000_t75" style="position:absolute;left:0pt;height:387.2pt;width:415.45pt;mso-position-horizontal:center;mso-position-horizontal-relative:margin;mso-position-vertical:center;mso-position-vertical-relative:margin;z-index:-251653120;mso-width-relative:page;mso-height-relative:page;" filled="f" o:preferrelative="t" stroked="f" coordsize="21600,21600" o:allowincell="f">
          <v:path/>
          <v:fill on="f" focussize="0,0"/>
          <v:stroke on="f" joinstyle="miter"/>
          <v:imagedata r:id="rId1" gain="19661f" blacklevel="22938f" o:title="绿标png"/>
          <o:lock v:ext="edit" aspectratio="t"/>
        </v:shape>
      </w:pic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26B0FA">
    <w:pPr>
      <w:pStyle w:val="8"/>
    </w:pPr>
    <w:r>
      <w:pict>
        <v:shape id="WordPictureWatermark23172422" o:spid="_x0000_s2052" o:spt="75" type="#_x0000_t75" style="position:absolute;left:0pt;height:387.2pt;width:415.45pt;mso-position-horizontal:center;mso-position-horizontal-relative:margin;mso-position-vertical:center;mso-position-vertical-relative:margin;z-index:-251654144;mso-width-relative:page;mso-height-relative:page;" filled="f" o:preferrelative="t" stroked="f" coordsize="21600,21600" o:allowincell="f">
          <v:path/>
          <v:fill on="f" focussize="0,0"/>
          <v:stroke on="f" joinstyle="miter"/>
          <v:imagedata r:id="rId1" gain="19661f" blacklevel="22938f" o:title="绿标png"/>
          <o:lock v:ext="edit"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A294A7"/>
    <w:multiLevelType w:val="multilevel"/>
    <w:tmpl w:val="A5A294A7"/>
    <w:lvl w:ilvl="0" w:tentative="0">
      <w:start w:val="1"/>
      <w:numFmt w:val="decimal"/>
      <w:pStyle w:val="19"/>
      <w:suff w:val="nothing"/>
      <w:lvlText w:val="%1　"/>
      <w:lvlJc w:val="left"/>
      <w:pPr>
        <w:tabs>
          <w:tab w:val="left" w:pos="0"/>
        </w:tabs>
        <w:ind w:left="0" w:firstLine="0"/>
      </w:pPr>
      <w:rPr>
        <w:rFonts w:hint="eastAsia" w:ascii="黑体" w:hAnsi="黑体" w:eastAsia="黑体"/>
        <w:b w:val="0"/>
        <w:bCs w:val="0"/>
        <w:i w:val="0"/>
        <w:iCs w:val="0"/>
        <w:sz w:val="21"/>
        <w:szCs w:val="21"/>
      </w:rPr>
    </w:lvl>
    <w:lvl w:ilvl="1" w:tentative="0">
      <w:start w:val="1"/>
      <w:numFmt w:val="decimal"/>
      <w:pStyle w:val="18"/>
      <w:suff w:val="nothing"/>
      <w:lvlText w:val="%1.%2　"/>
      <w:lvlJc w:val="left"/>
      <w:pPr>
        <w:tabs>
          <w:tab w:val="left" w:pos="0"/>
        </w:tabs>
        <w:ind w:left="0" w:firstLine="0"/>
      </w:pPr>
      <w:rPr>
        <w:rFonts w:hint="eastAsia" w:ascii="黑体" w:hAnsi="黑体" w:eastAsia="黑体"/>
        <w:b w:val="0"/>
        <w:bCs w:val="0"/>
        <w:i w:val="0"/>
        <w:iCs w:val="0"/>
        <w:caps w:val="0"/>
        <w:smallCaps w:val="0"/>
        <w:strike w:val="0"/>
        <w:dstrike w:val="0"/>
        <w:vanish w:val="0"/>
        <w:color w:val="000000"/>
        <w:spacing w:val="0"/>
        <w:kern w:val="0"/>
        <w:position w:val="0"/>
        <w:sz w:val="21"/>
        <w:szCs w:val="21"/>
        <w:u w:val="none"/>
        <w:vertAlign w:val="baseline"/>
      </w:rPr>
    </w:lvl>
    <w:lvl w:ilvl="2" w:tentative="0">
      <w:start w:val="1"/>
      <w:numFmt w:val="decimal"/>
      <w:suff w:val="nothing"/>
      <w:lvlText w:val="%1.%2.%3　"/>
      <w:lvlJc w:val="left"/>
      <w:pPr>
        <w:tabs>
          <w:tab w:val="left" w:pos="0"/>
        </w:tabs>
        <w:ind w:left="0" w:firstLine="0"/>
      </w:pPr>
      <w:rPr>
        <w:rFonts w:hint="eastAsia" w:ascii="黑体" w:hAnsi="黑体" w:eastAsia="黑体"/>
        <w:b w:val="0"/>
        <w:bCs w:val="0"/>
        <w:i w:val="0"/>
        <w:iCs w:val="0"/>
        <w:sz w:val="21"/>
        <w:szCs w:val="21"/>
      </w:rPr>
    </w:lvl>
    <w:lvl w:ilvl="3" w:tentative="0">
      <w:start w:val="1"/>
      <w:numFmt w:val="decimal"/>
      <w:suff w:val="nothing"/>
      <w:lvlText w:val="%1.%2.%3.%4　"/>
      <w:lvlJc w:val="left"/>
      <w:pPr>
        <w:tabs>
          <w:tab w:val="left" w:pos="0"/>
        </w:tabs>
        <w:ind w:left="0" w:firstLine="0"/>
      </w:pPr>
      <w:rPr>
        <w:rFonts w:hint="eastAsia" w:ascii="黑体" w:hAnsi="黑体" w:eastAsia="黑体"/>
        <w:b w:val="0"/>
        <w:bCs w:val="0"/>
        <w:i w:val="0"/>
        <w:iCs w:val="0"/>
        <w:sz w:val="21"/>
        <w:szCs w:val="21"/>
      </w:rPr>
    </w:lvl>
    <w:lvl w:ilvl="4" w:tentative="0">
      <w:start w:val="1"/>
      <w:numFmt w:val="decimal"/>
      <w:suff w:val="nothing"/>
      <w:lvlText w:val="%1.%2.%3.%4.%5　"/>
      <w:lvlJc w:val="left"/>
      <w:pPr>
        <w:tabs>
          <w:tab w:val="left" w:pos="0"/>
        </w:tabs>
        <w:ind w:left="0" w:firstLine="0"/>
      </w:pPr>
      <w:rPr>
        <w:rFonts w:hint="eastAsia" w:ascii="黑体" w:hAnsi="黑体" w:eastAsia="黑体"/>
        <w:b w:val="0"/>
        <w:bCs w:val="0"/>
        <w:i w:val="0"/>
        <w:iCs w:val="0"/>
        <w:sz w:val="21"/>
        <w:szCs w:val="21"/>
      </w:rPr>
    </w:lvl>
    <w:lvl w:ilvl="5" w:tentative="0">
      <w:start w:val="1"/>
      <w:numFmt w:val="decimal"/>
      <w:suff w:val="nothing"/>
      <w:lvlText w:val="%1.%2.%3.%4.%5.%6　"/>
      <w:lvlJc w:val="left"/>
      <w:pPr>
        <w:tabs>
          <w:tab w:val="left" w:pos="0"/>
        </w:tabs>
        <w:ind w:left="0" w:firstLine="0"/>
      </w:pPr>
      <w:rPr>
        <w:rFonts w:hint="eastAsia" w:ascii="黑体" w:hAnsi="黑体" w:eastAsia="黑体"/>
        <w:b w:val="0"/>
        <w:bCs w:val="0"/>
        <w:i w:val="0"/>
        <w:iCs w:val="0"/>
        <w:sz w:val="21"/>
        <w:szCs w:val="21"/>
      </w:rPr>
    </w:lvl>
    <w:lvl w:ilvl="6" w:tentative="0">
      <w:start w:val="1"/>
      <w:numFmt w:val="decimal"/>
      <w:suff w:val="nothing"/>
      <w:lvlText w:val="%1%2.%3.%4.%5.%6.%7　"/>
      <w:lvlJc w:val="left"/>
      <w:pPr>
        <w:tabs>
          <w:tab w:val="left" w:pos="0"/>
        </w:tabs>
        <w:ind w:left="0" w:firstLine="0"/>
      </w:pPr>
      <w:rPr>
        <w:rFonts w:hint="eastAsia" w:ascii="黑体" w:hAnsi="黑体" w:eastAsia="黑体"/>
        <w:b w:val="0"/>
        <w:bCs w:val="0"/>
        <w:i w:val="0"/>
        <w:iCs w:val="0"/>
        <w:sz w:val="21"/>
        <w:szCs w:val="21"/>
      </w:rPr>
    </w:lvl>
    <w:lvl w:ilvl="7" w:tentative="0">
      <w:start w:val="1"/>
      <w:numFmt w:val="decimal"/>
      <w:lvlText w:val="%1.%2.%3.%4.%5.%6.%7.%8"/>
      <w:lvlJc w:val="left"/>
      <w:pPr>
        <w:tabs>
          <w:tab w:val="left" w:pos="0"/>
        </w:tabs>
        <w:ind w:left="3969" w:hanging="1418"/>
      </w:pPr>
      <w:rPr>
        <w:rFonts w:hint="eastAsia"/>
      </w:rPr>
    </w:lvl>
    <w:lvl w:ilvl="8" w:tentative="0">
      <w:start w:val="1"/>
      <w:numFmt w:val="decimal"/>
      <w:lvlText w:val="%1.%2.%3.%4.%5.%6.%7.%8.%9"/>
      <w:lvlJc w:val="left"/>
      <w:pPr>
        <w:tabs>
          <w:tab w:val="left" w:pos="0"/>
        </w:tabs>
        <w:ind w:left="4677" w:hanging="170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documentProtection w:enforcement="0"/>
  <w:defaultTabStop w:val="420"/>
  <w:evenAndOddHeaders w:val="1"/>
  <w:drawingGridHorizontalSpacing w:val="105"/>
  <w:drawingGridVerticalSpacing w:val="156"/>
  <w:noPunctuationKerning w:val="1"/>
  <w:characterSpacingControl w:val="compressPunctuation"/>
  <w:noLineBreaksAfter w:lang="zh-CN" w:val="$([{£¥·‘“〈《「『【〔〖〝﹙﹛﹝＄（．［｛￡￥"/>
  <w:noLineBreaksBefore w:lang="zh-CN" w:val="!%),.:;&gt;?]}¢¨°·ˇˉ―‖’”…‰′″›℃∶、。〃〉》」』】〕〗〞︶︺︾﹀﹄﹚﹜﹞！＂％＇），．：；？］｀｜｝～￠"/>
  <w:hdrShapeDefaults>
    <o:shapelayout v:ext="edit">
      <o:idmap v:ext="edit" data="2"/>
    </o:shapelayout>
  </w:hdrShapeDefaults>
  <w:compat>
    <w:spaceForUL/>
    <w:balanceSingleByteDoubleByteWidth/>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E1NzMwMGEwYTc2MDYyNGUzZTBkM2RiOGYxOTVlNDUifQ=="/>
  </w:docVars>
  <w:rsids>
    <w:rsidRoot w:val="00172A27"/>
    <w:rsid w:val="00000EAD"/>
    <w:rsid w:val="000015C8"/>
    <w:rsid w:val="00003637"/>
    <w:rsid w:val="00005F8E"/>
    <w:rsid w:val="000060A4"/>
    <w:rsid w:val="000161DB"/>
    <w:rsid w:val="000163AD"/>
    <w:rsid w:val="000200DA"/>
    <w:rsid w:val="0002294F"/>
    <w:rsid w:val="00026D50"/>
    <w:rsid w:val="00027D82"/>
    <w:rsid w:val="00031989"/>
    <w:rsid w:val="00032D1A"/>
    <w:rsid w:val="0004098D"/>
    <w:rsid w:val="00051944"/>
    <w:rsid w:val="000524ED"/>
    <w:rsid w:val="0005707F"/>
    <w:rsid w:val="000600EC"/>
    <w:rsid w:val="00062EC8"/>
    <w:rsid w:val="00064E9C"/>
    <w:rsid w:val="00066D7F"/>
    <w:rsid w:val="00067A6F"/>
    <w:rsid w:val="00072300"/>
    <w:rsid w:val="0007458C"/>
    <w:rsid w:val="00086FEC"/>
    <w:rsid w:val="0008761E"/>
    <w:rsid w:val="000902F5"/>
    <w:rsid w:val="0009121A"/>
    <w:rsid w:val="00096E36"/>
    <w:rsid w:val="000A15E6"/>
    <w:rsid w:val="000A2553"/>
    <w:rsid w:val="000A59BE"/>
    <w:rsid w:val="000C0BEF"/>
    <w:rsid w:val="000C1B45"/>
    <w:rsid w:val="000C4105"/>
    <w:rsid w:val="000C6373"/>
    <w:rsid w:val="000D03FF"/>
    <w:rsid w:val="000D497A"/>
    <w:rsid w:val="000E56BA"/>
    <w:rsid w:val="000F2CFB"/>
    <w:rsid w:val="000F36D8"/>
    <w:rsid w:val="0010000A"/>
    <w:rsid w:val="00101A04"/>
    <w:rsid w:val="00106C3F"/>
    <w:rsid w:val="00106E6A"/>
    <w:rsid w:val="00114B17"/>
    <w:rsid w:val="001203BC"/>
    <w:rsid w:val="0012160C"/>
    <w:rsid w:val="001225FC"/>
    <w:rsid w:val="00124FFF"/>
    <w:rsid w:val="00141AEE"/>
    <w:rsid w:val="00144205"/>
    <w:rsid w:val="00146561"/>
    <w:rsid w:val="001468A1"/>
    <w:rsid w:val="001544D4"/>
    <w:rsid w:val="00156850"/>
    <w:rsid w:val="00160471"/>
    <w:rsid w:val="001657A5"/>
    <w:rsid w:val="00165810"/>
    <w:rsid w:val="00166F34"/>
    <w:rsid w:val="00172A27"/>
    <w:rsid w:val="00172B96"/>
    <w:rsid w:val="0017707A"/>
    <w:rsid w:val="0018737C"/>
    <w:rsid w:val="00190BC3"/>
    <w:rsid w:val="001920EA"/>
    <w:rsid w:val="00193485"/>
    <w:rsid w:val="0019618F"/>
    <w:rsid w:val="001A2FD9"/>
    <w:rsid w:val="001B083A"/>
    <w:rsid w:val="001B16E8"/>
    <w:rsid w:val="001C71EC"/>
    <w:rsid w:val="001D3F76"/>
    <w:rsid w:val="001E5788"/>
    <w:rsid w:val="001F552B"/>
    <w:rsid w:val="001F650E"/>
    <w:rsid w:val="001F7AC5"/>
    <w:rsid w:val="00202883"/>
    <w:rsid w:val="002059FD"/>
    <w:rsid w:val="002062AB"/>
    <w:rsid w:val="0020784D"/>
    <w:rsid w:val="0021042A"/>
    <w:rsid w:val="00213FBE"/>
    <w:rsid w:val="00220DD4"/>
    <w:rsid w:val="00222437"/>
    <w:rsid w:val="00236846"/>
    <w:rsid w:val="002418B5"/>
    <w:rsid w:val="00242C0F"/>
    <w:rsid w:val="00245E1C"/>
    <w:rsid w:val="00247929"/>
    <w:rsid w:val="00251662"/>
    <w:rsid w:val="0025617D"/>
    <w:rsid w:val="00256B94"/>
    <w:rsid w:val="00262382"/>
    <w:rsid w:val="00265E5F"/>
    <w:rsid w:val="00270E32"/>
    <w:rsid w:val="00274A0A"/>
    <w:rsid w:val="002808D9"/>
    <w:rsid w:val="002934EE"/>
    <w:rsid w:val="00297CCC"/>
    <w:rsid w:val="002A21AB"/>
    <w:rsid w:val="002A694C"/>
    <w:rsid w:val="002B0E88"/>
    <w:rsid w:val="002B2B42"/>
    <w:rsid w:val="002B686D"/>
    <w:rsid w:val="002C080F"/>
    <w:rsid w:val="002C4C72"/>
    <w:rsid w:val="002C7910"/>
    <w:rsid w:val="002D12E8"/>
    <w:rsid w:val="002D2448"/>
    <w:rsid w:val="002E4F4E"/>
    <w:rsid w:val="002E64FB"/>
    <w:rsid w:val="002E7067"/>
    <w:rsid w:val="002E7D93"/>
    <w:rsid w:val="002F29F1"/>
    <w:rsid w:val="002F5189"/>
    <w:rsid w:val="00300CAD"/>
    <w:rsid w:val="00311359"/>
    <w:rsid w:val="003251DE"/>
    <w:rsid w:val="00331288"/>
    <w:rsid w:val="00336E7F"/>
    <w:rsid w:val="0034134B"/>
    <w:rsid w:val="0034284F"/>
    <w:rsid w:val="00345DDA"/>
    <w:rsid w:val="00365BE8"/>
    <w:rsid w:val="00367F04"/>
    <w:rsid w:val="00370C83"/>
    <w:rsid w:val="00380551"/>
    <w:rsid w:val="00383634"/>
    <w:rsid w:val="003858CD"/>
    <w:rsid w:val="003940DE"/>
    <w:rsid w:val="00395493"/>
    <w:rsid w:val="00395C75"/>
    <w:rsid w:val="003A245F"/>
    <w:rsid w:val="003A2FF6"/>
    <w:rsid w:val="003A37E8"/>
    <w:rsid w:val="003A63FE"/>
    <w:rsid w:val="003A7BCE"/>
    <w:rsid w:val="003C1BC8"/>
    <w:rsid w:val="003C3C7F"/>
    <w:rsid w:val="003C4E89"/>
    <w:rsid w:val="003C70D1"/>
    <w:rsid w:val="003E25F7"/>
    <w:rsid w:val="003E3B79"/>
    <w:rsid w:val="003E603F"/>
    <w:rsid w:val="003E651F"/>
    <w:rsid w:val="003E709C"/>
    <w:rsid w:val="003F1A82"/>
    <w:rsid w:val="003F47CA"/>
    <w:rsid w:val="003F4A0A"/>
    <w:rsid w:val="003F6CB8"/>
    <w:rsid w:val="003F7EF0"/>
    <w:rsid w:val="004103DC"/>
    <w:rsid w:val="0041201A"/>
    <w:rsid w:val="00412A97"/>
    <w:rsid w:val="00412B40"/>
    <w:rsid w:val="004133A0"/>
    <w:rsid w:val="004144E1"/>
    <w:rsid w:val="00415865"/>
    <w:rsid w:val="00422027"/>
    <w:rsid w:val="00436DF4"/>
    <w:rsid w:val="004465DE"/>
    <w:rsid w:val="00450755"/>
    <w:rsid w:val="00463682"/>
    <w:rsid w:val="00465DC2"/>
    <w:rsid w:val="00475953"/>
    <w:rsid w:val="00475EAF"/>
    <w:rsid w:val="00476CBC"/>
    <w:rsid w:val="004935B2"/>
    <w:rsid w:val="004A30D3"/>
    <w:rsid w:val="004A6B97"/>
    <w:rsid w:val="004B0B10"/>
    <w:rsid w:val="004B17FD"/>
    <w:rsid w:val="004B39FD"/>
    <w:rsid w:val="004B4A45"/>
    <w:rsid w:val="004B5D20"/>
    <w:rsid w:val="004B6286"/>
    <w:rsid w:val="004B772A"/>
    <w:rsid w:val="004C2DF3"/>
    <w:rsid w:val="004C436C"/>
    <w:rsid w:val="004C5D8E"/>
    <w:rsid w:val="004C608C"/>
    <w:rsid w:val="004C6462"/>
    <w:rsid w:val="004D0E36"/>
    <w:rsid w:val="004D5C19"/>
    <w:rsid w:val="004E18CE"/>
    <w:rsid w:val="004E59C5"/>
    <w:rsid w:val="004E69E8"/>
    <w:rsid w:val="005036A1"/>
    <w:rsid w:val="00504E0A"/>
    <w:rsid w:val="005118F4"/>
    <w:rsid w:val="00513771"/>
    <w:rsid w:val="00520E45"/>
    <w:rsid w:val="00522839"/>
    <w:rsid w:val="0052662D"/>
    <w:rsid w:val="005268F9"/>
    <w:rsid w:val="005271F1"/>
    <w:rsid w:val="00535AFC"/>
    <w:rsid w:val="005576E6"/>
    <w:rsid w:val="0056257F"/>
    <w:rsid w:val="00566DF5"/>
    <w:rsid w:val="005710DD"/>
    <w:rsid w:val="005734C9"/>
    <w:rsid w:val="00575B81"/>
    <w:rsid w:val="00576763"/>
    <w:rsid w:val="00582CA2"/>
    <w:rsid w:val="00585A06"/>
    <w:rsid w:val="00587504"/>
    <w:rsid w:val="00591401"/>
    <w:rsid w:val="00591D03"/>
    <w:rsid w:val="00592183"/>
    <w:rsid w:val="0059318F"/>
    <w:rsid w:val="00593FE7"/>
    <w:rsid w:val="00596C6A"/>
    <w:rsid w:val="0059715E"/>
    <w:rsid w:val="005B4157"/>
    <w:rsid w:val="005B7476"/>
    <w:rsid w:val="005C2DA7"/>
    <w:rsid w:val="005D3A21"/>
    <w:rsid w:val="005E3E74"/>
    <w:rsid w:val="005E49AF"/>
    <w:rsid w:val="005E6F38"/>
    <w:rsid w:val="005F20CB"/>
    <w:rsid w:val="0060091F"/>
    <w:rsid w:val="00600F04"/>
    <w:rsid w:val="00600F83"/>
    <w:rsid w:val="00602F42"/>
    <w:rsid w:val="00602FA1"/>
    <w:rsid w:val="00604FAA"/>
    <w:rsid w:val="00612408"/>
    <w:rsid w:val="00614BD3"/>
    <w:rsid w:val="0061663D"/>
    <w:rsid w:val="00617D39"/>
    <w:rsid w:val="0062274C"/>
    <w:rsid w:val="00623F15"/>
    <w:rsid w:val="00627973"/>
    <w:rsid w:val="006343B4"/>
    <w:rsid w:val="0063531B"/>
    <w:rsid w:val="00635DE6"/>
    <w:rsid w:val="00640EE1"/>
    <w:rsid w:val="006442F0"/>
    <w:rsid w:val="00652A7A"/>
    <w:rsid w:val="006563BD"/>
    <w:rsid w:val="0065691C"/>
    <w:rsid w:val="006570F9"/>
    <w:rsid w:val="00661455"/>
    <w:rsid w:val="0066210B"/>
    <w:rsid w:val="0066514D"/>
    <w:rsid w:val="006653CD"/>
    <w:rsid w:val="00666C4E"/>
    <w:rsid w:val="0066719D"/>
    <w:rsid w:val="006757BB"/>
    <w:rsid w:val="00682A0A"/>
    <w:rsid w:val="00683FA4"/>
    <w:rsid w:val="00685AC9"/>
    <w:rsid w:val="00686A3E"/>
    <w:rsid w:val="00692CE8"/>
    <w:rsid w:val="006A4144"/>
    <w:rsid w:val="006A6FF1"/>
    <w:rsid w:val="006A741B"/>
    <w:rsid w:val="006B21C1"/>
    <w:rsid w:val="006D1935"/>
    <w:rsid w:val="006E42FF"/>
    <w:rsid w:val="006E4FB3"/>
    <w:rsid w:val="00704180"/>
    <w:rsid w:val="007111A2"/>
    <w:rsid w:val="0072059B"/>
    <w:rsid w:val="0072426D"/>
    <w:rsid w:val="00734F3F"/>
    <w:rsid w:val="007421A7"/>
    <w:rsid w:val="00743A54"/>
    <w:rsid w:val="0074442A"/>
    <w:rsid w:val="00747498"/>
    <w:rsid w:val="00750D87"/>
    <w:rsid w:val="00751F45"/>
    <w:rsid w:val="00753BA3"/>
    <w:rsid w:val="00754CBE"/>
    <w:rsid w:val="00756B80"/>
    <w:rsid w:val="00776493"/>
    <w:rsid w:val="00794A35"/>
    <w:rsid w:val="007A212C"/>
    <w:rsid w:val="007A2980"/>
    <w:rsid w:val="007A71DD"/>
    <w:rsid w:val="007B2DAD"/>
    <w:rsid w:val="007C27C9"/>
    <w:rsid w:val="007C30BC"/>
    <w:rsid w:val="007C486F"/>
    <w:rsid w:val="007C6958"/>
    <w:rsid w:val="007D1D1C"/>
    <w:rsid w:val="007D27BC"/>
    <w:rsid w:val="007D5105"/>
    <w:rsid w:val="007E0043"/>
    <w:rsid w:val="007E2976"/>
    <w:rsid w:val="007F0431"/>
    <w:rsid w:val="007F1115"/>
    <w:rsid w:val="007F480B"/>
    <w:rsid w:val="00800DB6"/>
    <w:rsid w:val="00802A5D"/>
    <w:rsid w:val="008051A1"/>
    <w:rsid w:val="00812704"/>
    <w:rsid w:val="00813E8D"/>
    <w:rsid w:val="00814513"/>
    <w:rsid w:val="008228F6"/>
    <w:rsid w:val="008257DF"/>
    <w:rsid w:val="00827E62"/>
    <w:rsid w:val="00832DC2"/>
    <w:rsid w:val="00835D71"/>
    <w:rsid w:val="00835E24"/>
    <w:rsid w:val="0084005D"/>
    <w:rsid w:val="00844FD6"/>
    <w:rsid w:val="00846D5E"/>
    <w:rsid w:val="0085200C"/>
    <w:rsid w:val="00854042"/>
    <w:rsid w:val="0085471B"/>
    <w:rsid w:val="00856E14"/>
    <w:rsid w:val="008619FF"/>
    <w:rsid w:val="00861B9E"/>
    <w:rsid w:val="00863C3A"/>
    <w:rsid w:val="00864AF3"/>
    <w:rsid w:val="00867513"/>
    <w:rsid w:val="00873671"/>
    <w:rsid w:val="00876ADB"/>
    <w:rsid w:val="0087732A"/>
    <w:rsid w:val="00881D67"/>
    <w:rsid w:val="0088265B"/>
    <w:rsid w:val="008904D3"/>
    <w:rsid w:val="008929B6"/>
    <w:rsid w:val="00893858"/>
    <w:rsid w:val="00894C9D"/>
    <w:rsid w:val="008A0593"/>
    <w:rsid w:val="008A0679"/>
    <w:rsid w:val="008A2ED8"/>
    <w:rsid w:val="008A5316"/>
    <w:rsid w:val="008A5D29"/>
    <w:rsid w:val="008B4377"/>
    <w:rsid w:val="008B7FC6"/>
    <w:rsid w:val="008C1AE0"/>
    <w:rsid w:val="008C2A87"/>
    <w:rsid w:val="008C509E"/>
    <w:rsid w:val="008C68DE"/>
    <w:rsid w:val="008C7E6A"/>
    <w:rsid w:val="008D1BE4"/>
    <w:rsid w:val="008E6A94"/>
    <w:rsid w:val="008E7138"/>
    <w:rsid w:val="008E74D1"/>
    <w:rsid w:val="008F5C82"/>
    <w:rsid w:val="008F5D59"/>
    <w:rsid w:val="00900A00"/>
    <w:rsid w:val="00902A0E"/>
    <w:rsid w:val="00904D45"/>
    <w:rsid w:val="009142FA"/>
    <w:rsid w:val="00917018"/>
    <w:rsid w:val="00917194"/>
    <w:rsid w:val="00920427"/>
    <w:rsid w:val="00925F33"/>
    <w:rsid w:val="00933374"/>
    <w:rsid w:val="00937046"/>
    <w:rsid w:val="00940A4B"/>
    <w:rsid w:val="009429AB"/>
    <w:rsid w:val="00944323"/>
    <w:rsid w:val="009457A1"/>
    <w:rsid w:val="009503BD"/>
    <w:rsid w:val="00950FAA"/>
    <w:rsid w:val="00957893"/>
    <w:rsid w:val="00960BF2"/>
    <w:rsid w:val="00964F50"/>
    <w:rsid w:val="009656CE"/>
    <w:rsid w:val="00965796"/>
    <w:rsid w:val="00970FB8"/>
    <w:rsid w:val="00974401"/>
    <w:rsid w:val="00976D76"/>
    <w:rsid w:val="00983CB2"/>
    <w:rsid w:val="00985011"/>
    <w:rsid w:val="00997739"/>
    <w:rsid w:val="009A21DC"/>
    <w:rsid w:val="009A4FCD"/>
    <w:rsid w:val="009A7D46"/>
    <w:rsid w:val="009C7852"/>
    <w:rsid w:val="009D0038"/>
    <w:rsid w:val="009D730A"/>
    <w:rsid w:val="009E157C"/>
    <w:rsid w:val="009E57D7"/>
    <w:rsid w:val="009F303D"/>
    <w:rsid w:val="009F3335"/>
    <w:rsid w:val="00A07914"/>
    <w:rsid w:val="00A07B8B"/>
    <w:rsid w:val="00A15E3B"/>
    <w:rsid w:val="00A179E8"/>
    <w:rsid w:val="00A20988"/>
    <w:rsid w:val="00A233FA"/>
    <w:rsid w:val="00A353BF"/>
    <w:rsid w:val="00A41C67"/>
    <w:rsid w:val="00A42454"/>
    <w:rsid w:val="00A42B68"/>
    <w:rsid w:val="00A42EAE"/>
    <w:rsid w:val="00A44296"/>
    <w:rsid w:val="00A51834"/>
    <w:rsid w:val="00A63876"/>
    <w:rsid w:val="00A63B13"/>
    <w:rsid w:val="00A63F4D"/>
    <w:rsid w:val="00A65B9F"/>
    <w:rsid w:val="00A673C8"/>
    <w:rsid w:val="00A75826"/>
    <w:rsid w:val="00A76C44"/>
    <w:rsid w:val="00A83607"/>
    <w:rsid w:val="00A842FC"/>
    <w:rsid w:val="00A843C7"/>
    <w:rsid w:val="00A8494F"/>
    <w:rsid w:val="00A8632B"/>
    <w:rsid w:val="00A90852"/>
    <w:rsid w:val="00A92C92"/>
    <w:rsid w:val="00A96744"/>
    <w:rsid w:val="00A97A59"/>
    <w:rsid w:val="00AA0520"/>
    <w:rsid w:val="00AA5E0C"/>
    <w:rsid w:val="00AA72DC"/>
    <w:rsid w:val="00AB0045"/>
    <w:rsid w:val="00AB0E70"/>
    <w:rsid w:val="00AB4AE6"/>
    <w:rsid w:val="00AB5129"/>
    <w:rsid w:val="00AB78ED"/>
    <w:rsid w:val="00AC1F6E"/>
    <w:rsid w:val="00AC2643"/>
    <w:rsid w:val="00AC5C5C"/>
    <w:rsid w:val="00AD3A20"/>
    <w:rsid w:val="00AD5148"/>
    <w:rsid w:val="00AE03EA"/>
    <w:rsid w:val="00AE2050"/>
    <w:rsid w:val="00AE5DF3"/>
    <w:rsid w:val="00AE7C88"/>
    <w:rsid w:val="00AF32FA"/>
    <w:rsid w:val="00AF4600"/>
    <w:rsid w:val="00AF534F"/>
    <w:rsid w:val="00B04CAA"/>
    <w:rsid w:val="00B06986"/>
    <w:rsid w:val="00B07E4A"/>
    <w:rsid w:val="00B13261"/>
    <w:rsid w:val="00B233CA"/>
    <w:rsid w:val="00B310AD"/>
    <w:rsid w:val="00B3293F"/>
    <w:rsid w:val="00B33FDE"/>
    <w:rsid w:val="00B40D2C"/>
    <w:rsid w:val="00B4445C"/>
    <w:rsid w:val="00B561E3"/>
    <w:rsid w:val="00B600F9"/>
    <w:rsid w:val="00B64A04"/>
    <w:rsid w:val="00B71DB4"/>
    <w:rsid w:val="00B727A7"/>
    <w:rsid w:val="00B72899"/>
    <w:rsid w:val="00B76387"/>
    <w:rsid w:val="00B83A2C"/>
    <w:rsid w:val="00B973F5"/>
    <w:rsid w:val="00BA1CE0"/>
    <w:rsid w:val="00BB1E9C"/>
    <w:rsid w:val="00BB2E7B"/>
    <w:rsid w:val="00BB5018"/>
    <w:rsid w:val="00BB52F1"/>
    <w:rsid w:val="00BB55B5"/>
    <w:rsid w:val="00BC0FC2"/>
    <w:rsid w:val="00BD2F32"/>
    <w:rsid w:val="00BD5017"/>
    <w:rsid w:val="00BD60AF"/>
    <w:rsid w:val="00BD7589"/>
    <w:rsid w:val="00BE1378"/>
    <w:rsid w:val="00BE1B42"/>
    <w:rsid w:val="00BE1D40"/>
    <w:rsid w:val="00BE2464"/>
    <w:rsid w:val="00BF4444"/>
    <w:rsid w:val="00BF4FC0"/>
    <w:rsid w:val="00BF5A08"/>
    <w:rsid w:val="00C05949"/>
    <w:rsid w:val="00C111D4"/>
    <w:rsid w:val="00C1363B"/>
    <w:rsid w:val="00C17564"/>
    <w:rsid w:val="00C233E5"/>
    <w:rsid w:val="00C24F3A"/>
    <w:rsid w:val="00C24FBE"/>
    <w:rsid w:val="00C31CC8"/>
    <w:rsid w:val="00C33A07"/>
    <w:rsid w:val="00C33C99"/>
    <w:rsid w:val="00C3414A"/>
    <w:rsid w:val="00C367CA"/>
    <w:rsid w:val="00C412EC"/>
    <w:rsid w:val="00C42825"/>
    <w:rsid w:val="00C523CE"/>
    <w:rsid w:val="00C54D6D"/>
    <w:rsid w:val="00C55687"/>
    <w:rsid w:val="00C642F8"/>
    <w:rsid w:val="00C66383"/>
    <w:rsid w:val="00C70879"/>
    <w:rsid w:val="00C72DDE"/>
    <w:rsid w:val="00C75B38"/>
    <w:rsid w:val="00C77431"/>
    <w:rsid w:val="00C845F8"/>
    <w:rsid w:val="00C926A9"/>
    <w:rsid w:val="00C92BC2"/>
    <w:rsid w:val="00C9549E"/>
    <w:rsid w:val="00C96436"/>
    <w:rsid w:val="00C9776A"/>
    <w:rsid w:val="00C9791A"/>
    <w:rsid w:val="00CA0CFD"/>
    <w:rsid w:val="00CA15B0"/>
    <w:rsid w:val="00CA5991"/>
    <w:rsid w:val="00CA62F1"/>
    <w:rsid w:val="00CB7922"/>
    <w:rsid w:val="00CD035C"/>
    <w:rsid w:val="00CD5C4A"/>
    <w:rsid w:val="00CE100B"/>
    <w:rsid w:val="00CE2AA2"/>
    <w:rsid w:val="00CE407F"/>
    <w:rsid w:val="00CF18C9"/>
    <w:rsid w:val="00CF3771"/>
    <w:rsid w:val="00CF45A9"/>
    <w:rsid w:val="00D043DD"/>
    <w:rsid w:val="00D06A2C"/>
    <w:rsid w:val="00D072F4"/>
    <w:rsid w:val="00D13C8D"/>
    <w:rsid w:val="00D159C1"/>
    <w:rsid w:val="00D20EB4"/>
    <w:rsid w:val="00D22EC5"/>
    <w:rsid w:val="00D24CE7"/>
    <w:rsid w:val="00D327FD"/>
    <w:rsid w:val="00D371DB"/>
    <w:rsid w:val="00D42DEE"/>
    <w:rsid w:val="00D4496A"/>
    <w:rsid w:val="00D46A7B"/>
    <w:rsid w:val="00D46BDA"/>
    <w:rsid w:val="00D51593"/>
    <w:rsid w:val="00D526C0"/>
    <w:rsid w:val="00D5274B"/>
    <w:rsid w:val="00D60BDA"/>
    <w:rsid w:val="00D633E5"/>
    <w:rsid w:val="00D649B6"/>
    <w:rsid w:val="00D72DA4"/>
    <w:rsid w:val="00D73784"/>
    <w:rsid w:val="00D73BAE"/>
    <w:rsid w:val="00D74256"/>
    <w:rsid w:val="00D77CA7"/>
    <w:rsid w:val="00D85519"/>
    <w:rsid w:val="00D858F4"/>
    <w:rsid w:val="00D916F9"/>
    <w:rsid w:val="00D941E4"/>
    <w:rsid w:val="00D9463A"/>
    <w:rsid w:val="00DA1D07"/>
    <w:rsid w:val="00DB1963"/>
    <w:rsid w:val="00DB5D4C"/>
    <w:rsid w:val="00DC029D"/>
    <w:rsid w:val="00DC0FD3"/>
    <w:rsid w:val="00DC11C5"/>
    <w:rsid w:val="00DC3AFD"/>
    <w:rsid w:val="00DC5DD3"/>
    <w:rsid w:val="00DC608D"/>
    <w:rsid w:val="00DC7A34"/>
    <w:rsid w:val="00DD0258"/>
    <w:rsid w:val="00DD0FF1"/>
    <w:rsid w:val="00DD5BEF"/>
    <w:rsid w:val="00DE6041"/>
    <w:rsid w:val="00DF4017"/>
    <w:rsid w:val="00DF433D"/>
    <w:rsid w:val="00DF443B"/>
    <w:rsid w:val="00DF7599"/>
    <w:rsid w:val="00E00A53"/>
    <w:rsid w:val="00E03BDD"/>
    <w:rsid w:val="00E04052"/>
    <w:rsid w:val="00E05D96"/>
    <w:rsid w:val="00E07ACB"/>
    <w:rsid w:val="00E12086"/>
    <w:rsid w:val="00E143C2"/>
    <w:rsid w:val="00E2500A"/>
    <w:rsid w:val="00E264BA"/>
    <w:rsid w:val="00E304B9"/>
    <w:rsid w:val="00E32752"/>
    <w:rsid w:val="00E34DC6"/>
    <w:rsid w:val="00E37482"/>
    <w:rsid w:val="00E41D62"/>
    <w:rsid w:val="00E461C3"/>
    <w:rsid w:val="00E46872"/>
    <w:rsid w:val="00E46C05"/>
    <w:rsid w:val="00E53DFD"/>
    <w:rsid w:val="00E55421"/>
    <w:rsid w:val="00E616AD"/>
    <w:rsid w:val="00E62A55"/>
    <w:rsid w:val="00E63344"/>
    <w:rsid w:val="00E672A1"/>
    <w:rsid w:val="00E71970"/>
    <w:rsid w:val="00E73713"/>
    <w:rsid w:val="00E73E16"/>
    <w:rsid w:val="00E830A4"/>
    <w:rsid w:val="00E902F8"/>
    <w:rsid w:val="00EA3563"/>
    <w:rsid w:val="00EA539E"/>
    <w:rsid w:val="00EA687D"/>
    <w:rsid w:val="00EA71EF"/>
    <w:rsid w:val="00EA7549"/>
    <w:rsid w:val="00EA78D2"/>
    <w:rsid w:val="00EB61F8"/>
    <w:rsid w:val="00EC4936"/>
    <w:rsid w:val="00ED028E"/>
    <w:rsid w:val="00ED48AB"/>
    <w:rsid w:val="00ED4E99"/>
    <w:rsid w:val="00ED5CF2"/>
    <w:rsid w:val="00EE2B69"/>
    <w:rsid w:val="00EF7526"/>
    <w:rsid w:val="00EF7C81"/>
    <w:rsid w:val="00F02E4A"/>
    <w:rsid w:val="00F0326B"/>
    <w:rsid w:val="00F03DCB"/>
    <w:rsid w:val="00F053DA"/>
    <w:rsid w:val="00F062CC"/>
    <w:rsid w:val="00F07105"/>
    <w:rsid w:val="00F139A3"/>
    <w:rsid w:val="00F1726E"/>
    <w:rsid w:val="00F1739A"/>
    <w:rsid w:val="00F23FB4"/>
    <w:rsid w:val="00F24D53"/>
    <w:rsid w:val="00F273DD"/>
    <w:rsid w:val="00F27EB2"/>
    <w:rsid w:val="00F31B6B"/>
    <w:rsid w:val="00F35466"/>
    <w:rsid w:val="00F545EF"/>
    <w:rsid w:val="00F608BC"/>
    <w:rsid w:val="00F632F1"/>
    <w:rsid w:val="00F64911"/>
    <w:rsid w:val="00F6645A"/>
    <w:rsid w:val="00F7024F"/>
    <w:rsid w:val="00F7241A"/>
    <w:rsid w:val="00F740A6"/>
    <w:rsid w:val="00F74BF8"/>
    <w:rsid w:val="00F75E38"/>
    <w:rsid w:val="00F76006"/>
    <w:rsid w:val="00F76215"/>
    <w:rsid w:val="00F76748"/>
    <w:rsid w:val="00F76A16"/>
    <w:rsid w:val="00F775ED"/>
    <w:rsid w:val="00F81124"/>
    <w:rsid w:val="00F86933"/>
    <w:rsid w:val="00F90A96"/>
    <w:rsid w:val="00F927B3"/>
    <w:rsid w:val="00FA6B89"/>
    <w:rsid w:val="00FB0131"/>
    <w:rsid w:val="00FB225F"/>
    <w:rsid w:val="00FB6038"/>
    <w:rsid w:val="00FB6E71"/>
    <w:rsid w:val="00FC428B"/>
    <w:rsid w:val="00FD099E"/>
    <w:rsid w:val="00FD32E0"/>
    <w:rsid w:val="00FD4453"/>
    <w:rsid w:val="00FD50CB"/>
    <w:rsid w:val="00FD56DE"/>
    <w:rsid w:val="00FE26B6"/>
    <w:rsid w:val="00FE44B7"/>
    <w:rsid w:val="00FE5817"/>
    <w:rsid w:val="00FF20A5"/>
    <w:rsid w:val="039FF78F"/>
    <w:rsid w:val="0737C955"/>
    <w:rsid w:val="07416A87"/>
    <w:rsid w:val="08FC469E"/>
    <w:rsid w:val="09F37ABA"/>
    <w:rsid w:val="0B723FF4"/>
    <w:rsid w:val="0BCFDF9E"/>
    <w:rsid w:val="0D1B1AAC"/>
    <w:rsid w:val="0DDED6A1"/>
    <w:rsid w:val="0FFF7B93"/>
    <w:rsid w:val="113B24D4"/>
    <w:rsid w:val="11FEE838"/>
    <w:rsid w:val="1257785C"/>
    <w:rsid w:val="12D5931B"/>
    <w:rsid w:val="12ED7EDE"/>
    <w:rsid w:val="13DF9ADE"/>
    <w:rsid w:val="15F556FA"/>
    <w:rsid w:val="17CF5F16"/>
    <w:rsid w:val="17FD5DE7"/>
    <w:rsid w:val="1AF6C995"/>
    <w:rsid w:val="1BD7C0B4"/>
    <w:rsid w:val="1CFE5E73"/>
    <w:rsid w:val="1EEB54E9"/>
    <w:rsid w:val="1F2BEE17"/>
    <w:rsid w:val="1FBD5F21"/>
    <w:rsid w:val="1FFF2518"/>
    <w:rsid w:val="23CFF489"/>
    <w:rsid w:val="25BF3EF3"/>
    <w:rsid w:val="271329BD"/>
    <w:rsid w:val="27DF0BE2"/>
    <w:rsid w:val="2AA86621"/>
    <w:rsid w:val="2CF74F3E"/>
    <w:rsid w:val="2DBF691A"/>
    <w:rsid w:val="2DCA3FFA"/>
    <w:rsid w:val="2F6F0ABE"/>
    <w:rsid w:val="2F7BEF10"/>
    <w:rsid w:val="32EE5F7B"/>
    <w:rsid w:val="32FF02F7"/>
    <w:rsid w:val="33F71EFC"/>
    <w:rsid w:val="33FB87F7"/>
    <w:rsid w:val="35CA35D2"/>
    <w:rsid w:val="35DF4FF5"/>
    <w:rsid w:val="37D9787A"/>
    <w:rsid w:val="37DCFEC9"/>
    <w:rsid w:val="37F3B71B"/>
    <w:rsid w:val="39DF83AA"/>
    <w:rsid w:val="3AD30301"/>
    <w:rsid w:val="3BBF6E2A"/>
    <w:rsid w:val="3BDA9E9F"/>
    <w:rsid w:val="3BDB23EF"/>
    <w:rsid w:val="3BFF6C85"/>
    <w:rsid w:val="3D69401F"/>
    <w:rsid w:val="3DB1F47A"/>
    <w:rsid w:val="3DBF1997"/>
    <w:rsid w:val="3DEFC135"/>
    <w:rsid w:val="3DF6C9E8"/>
    <w:rsid w:val="3DFBCAD6"/>
    <w:rsid w:val="3E9FF3EC"/>
    <w:rsid w:val="3EABC30C"/>
    <w:rsid w:val="3EBD427F"/>
    <w:rsid w:val="3EED5567"/>
    <w:rsid w:val="3EF63C14"/>
    <w:rsid w:val="3EFFD0B5"/>
    <w:rsid w:val="3FADB323"/>
    <w:rsid w:val="3FBD1769"/>
    <w:rsid w:val="3FC525C0"/>
    <w:rsid w:val="3FDCF060"/>
    <w:rsid w:val="3FDF4F6C"/>
    <w:rsid w:val="3FDFC82F"/>
    <w:rsid w:val="3FF7BEE0"/>
    <w:rsid w:val="3FFBE29A"/>
    <w:rsid w:val="3FFD051B"/>
    <w:rsid w:val="3FFE9AA0"/>
    <w:rsid w:val="3FFFA685"/>
    <w:rsid w:val="467FC45B"/>
    <w:rsid w:val="481E6617"/>
    <w:rsid w:val="49EBEBC4"/>
    <w:rsid w:val="49F3514B"/>
    <w:rsid w:val="4AF4A242"/>
    <w:rsid w:val="4DBFE005"/>
    <w:rsid w:val="4DDFA52D"/>
    <w:rsid w:val="4DF9E957"/>
    <w:rsid w:val="4EDDA6AC"/>
    <w:rsid w:val="4EEB70DE"/>
    <w:rsid w:val="4F07C677"/>
    <w:rsid w:val="4F5E31DA"/>
    <w:rsid w:val="4FCDEFAD"/>
    <w:rsid w:val="4FFC2C3C"/>
    <w:rsid w:val="4FFF07E4"/>
    <w:rsid w:val="51BB7DA7"/>
    <w:rsid w:val="526AB153"/>
    <w:rsid w:val="5577B1E2"/>
    <w:rsid w:val="573F85D9"/>
    <w:rsid w:val="576BD639"/>
    <w:rsid w:val="577D38C3"/>
    <w:rsid w:val="57A3453F"/>
    <w:rsid w:val="57BEA484"/>
    <w:rsid w:val="57E9F77F"/>
    <w:rsid w:val="5A5E20C4"/>
    <w:rsid w:val="5A6D4A21"/>
    <w:rsid w:val="5ABFDE22"/>
    <w:rsid w:val="5BF82664"/>
    <w:rsid w:val="5BFDD71E"/>
    <w:rsid w:val="5D7BE939"/>
    <w:rsid w:val="5DBD8585"/>
    <w:rsid w:val="5DF1454B"/>
    <w:rsid w:val="5DFDAF32"/>
    <w:rsid w:val="5E77981B"/>
    <w:rsid w:val="5EAD3E43"/>
    <w:rsid w:val="5EE7AF8C"/>
    <w:rsid w:val="5EED635A"/>
    <w:rsid w:val="5F5B6912"/>
    <w:rsid w:val="5F6B1BA2"/>
    <w:rsid w:val="5FCAC0A2"/>
    <w:rsid w:val="5FDF4E50"/>
    <w:rsid w:val="5FE739FB"/>
    <w:rsid w:val="5FE992C0"/>
    <w:rsid w:val="5FEB5B24"/>
    <w:rsid w:val="5FF3B079"/>
    <w:rsid w:val="5FFB6066"/>
    <w:rsid w:val="5FFCA655"/>
    <w:rsid w:val="5FFF3350"/>
    <w:rsid w:val="606F7FB1"/>
    <w:rsid w:val="6277682E"/>
    <w:rsid w:val="63A74737"/>
    <w:rsid w:val="63EB450A"/>
    <w:rsid w:val="6469727F"/>
    <w:rsid w:val="654D6C3E"/>
    <w:rsid w:val="666BC7AD"/>
    <w:rsid w:val="67AF8A45"/>
    <w:rsid w:val="67CB6CAA"/>
    <w:rsid w:val="67E535F9"/>
    <w:rsid w:val="6807233A"/>
    <w:rsid w:val="686ECBED"/>
    <w:rsid w:val="68E2416A"/>
    <w:rsid w:val="69552A61"/>
    <w:rsid w:val="698E462F"/>
    <w:rsid w:val="6AFFCEB9"/>
    <w:rsid w:val="6B5F6141"/>
    <w:rsid w:val="6CD53D2A"/>
    <w:rsid w:val="6CFD8E9A"/>
    <w:rsid w:val="6D0FE238"/>
    <w:rsid w:val="6D5CA066"/>
    <w:rsid w:val="6D7C48BA"/>
    <w:rsid w:val="6DB2EBA6"/>
    <w:rsid w:val="6DB978F8"/>
    <w:rsid w:val="6E7F2210"/>
    <w:rsid w:val="6EBDD302"/>
    <w:rsid w:val="6EFB06D9"/>
    <w:rsid w:val="6EFFE923"/>
    <w:rsid w:val="6F7F4682"/>
    <w:rsid w:val="6FABCCEE"/>
    <w:rsid w:val="6FCD347A"/>
    <w:rsid w:val="6FCF7CD6"/>
    <w:rsid w:val="6FD9D452"/>
    <w:rsid w:val="6FF334A4"/>
    <w:rsid w:val="6FF6AB70"/>
    <w:rsid w:val="708F0E4C"/>
    <w:rsid w:val="7199A1FC"/>
    <w:rsid w:val="736C387A"/>
    <w:rsid w:val="739763CB"/>
    <w:rsid w:val="739F09E4"/>
    <w:rsid w:val="73BFFD76"/>
    <w:rsid w:val="73F8C216"/>
    <w:rsid w:val="73FC6252"/>
    <w:rsid w:val="74FBF2E6"/>
    <w:rsid w:val="75A7D58C"/>
    <w:rsid w:val="75FF2B32"/>
    <w:rsid w:val="773F12ED"/>
    <w:rsid w:val="775B32AF"/>
    <w:rsid w:val="77676BE1"/>
    <w:rsid w:val="77973FA2"/>
    <w:rsid w:val="77B971EE"/>
    <w:rsid w:val="77F47919"/>
    <w:rsid w:val="77F72012"/>
    <w:rsid w:val="77F7D996"/>
    <w:rsid w:val="77F9BE12"/>
    <w:rsid w:val="77FFB266"/>
    <w:rsid w:val="787079C7"/>
    <w:rsid w:val="78DF862C"/>
    <w:rsid w:val="79397F27"/>
    <w:rsid w:val="797F14DD"/>
    <w:rsid w:val="79BD575A"/>
    <w:rsid w:val="79BF6B30"/>
    <w:rsid w:val="79BF8C78"/>
    <w:rsid w:val="79CB66D9"/>
    <w:rsid w:val="79D4C0ED"/>
    <w:rsid w:val="79D6BCD9"/>
    <w:rsid w:val="79F0E5E1"/>
    <w:rsid w:val="79FF9FE5"/>
    <w:rsid w:val="7A6A46B5"/>
    <w:rsid w:val="7AD3BBA2"/>
    <w:rsid w:val="7AF17579"/>
    <w:rsid w:val="7B2A32D4"/>
    <w:rsid w:val="7B353A75"/>
    <w:rsid w:val="7B5F660A"/>
    <w:rsid w:val="7B63264E"/>
    <w:rsid w:val="7BFF6A4C"/>
    <w:rsid w:val="7BFFF50E"/>
    <w:rsid w:val="7C1DB7F2"/>
    <w:rsid w:val="7C77A6EA"/>
    <w:rsid w:val="7CBC06EE"/>
    <w:rsid w:val="7CF5742A"/>
    <w:rsid w:val="7D7E39DE"/>
    <w:rsid w:val="7DB958B3"/>
    <w:rsid w:val="7DBFCA8C"/>
    <w:rsid w:val="7DD65B33"/>
    <w:rsid w:val="7DD73B03"/>
    <w:rsid w:val="7DD901D7"/>
    <w:rsid w:val="7DDF8178"/>
    <w:rsid w:val="7DEBC6DE"/>
    <w:rsid w:val="7DEF9406"/>
    <w:rsid w:val="7DF72330"/>
    <w:rsid w:val="7DF7F042"/>
    <w:rsid w:val="7DFED63A"/>
    <w:rsid w:val="7E731F54"/>
    <w:rsid w:val="7E9F2174"/>
    <w:rsid w:val="7EAF7AF2"/>
    <w:rsid w:val="7EB668F1"/>
    <w:rsid w:val="7EBB1E74"/>
    <w:rsid w:val="7ED8AC2D"/>
    <w:rsid w:val="7EE27BD1"/>
    <w:rsid w:val="7EE30FC2"/>
    <w:rsid w:val="7EEDFF06"/>
    <w:rsid w:val="7EEEC4EA"/>
    <w:rsid w:val="7EF768B3"/>
    <w:rsid w:val="7EF7EEEC"/>
    <w:rsid w:val="7EFB3D16"/>
    <w:rsid w:val="7EFF4E89"/>
    <w:rsid w:val="7F1FFD23"/>
    <w:rsid w:val="7F3673CB"/>
    <w:rsid w:val="7F3F71A3"/>
    <w:rsid w:val="7F4F03CD"/>
    <w:rsid w:val="7F6298FD"/>
    <w:rsid w:val="7F633499"/>
    <w:rsid w:val="7F6F5F99"/>
    <w:rsid w:val="7F775ED9"/>
    <w:rsid w:val="7F7BF833"/>
    <w:rsid w:val="7F7D6481"/>
    <w:rsid w:val="7F7F2949"/>
    <w:rsid w:val="7FAF1A1F"/>
    <w:rsid w:val="7FAF6B1A"/>
    <w:rsid w:val="7FB740EF"/>
    <w:rsid w:val="7FBDAA6B"/>
    <w:rsid w:val="7FBE2BBD"/>
    <w:rsid w:val="7FCFED75"/>
    <w:rsid w:val="7FD77657"/>
    <w:rsid w:val="7FDB9F21"/>
    <w:rsid w:val="7FDD7C0D"/>
    <w:rsid w:val="7FDF0E7F"/>
    <w:rsid w:val="7FDF4B6E"/>
    <w:rsid w:val="7FDF4D27"/>
    <w:rsid w:val="7FDFAEA6"/>
    <w:rsid w:val="7FEB7F05"/>
    <w:rsid w:val="7FEF7CFA"/>
    <w:rsid w:val="7FF3CE52"/>
    <w:rsid w:val="7FF58C9E"/>
    <w:rsid w:val="7FF7A877"/>
    <w:rsid w:val="7FFB0EE4"/>
    <w:rsid w:val="7FFB9171"/>
    <w:rsid w:val="7FFC5B6C"/>
    <w:rsid w:val="7FFDE351"/>
    <w:rsid w:val="7FFE8727"/>
    <w:rsid w:val="7FFEDB01"/>
    <w:rsid w:val="7FFFA3FE"/>
    <w:rsid w:val="7FFFD5C1"/>
    <w:rsid w:val="8FD7BA45"/>
    <w:rsid w:val="93ED8A01"/>
    <w:rsid w:val="957BFCA5"/>
    <w:rsid w:val="963C6077"/>
    <w:rsid w:val="97CCC810"/>
    <w:rsid w:val="97FD4D16"/>
    <w:rsid w:val="98EFBB3F"/>
    <w:rsid w:val="997684F3"/>
    <w:rsid w:val="9CFF9DF4"/>
    <w:rsid w:val="9D81236D"/>
    <w:rsid w:val="9FFD32B7"/>
    <w:rsid w:val="A335A2C2"/>
    <w:rsid w:val="AAFB33D2"/>
    <w:rsid w:val="ABBF7E29"/>
    <w:rsid w:val="ABFB0D3E"/>
    <w:rsid w:val="AD4DA824"/>
    <w:rsid w:val="ADBF6079"/>
    <w:rsid w:val="ADEF0C01"/>
    <w:rsid w:val="AE7F325F"/>
    <w:rsid w:val="AEB9F285"/>
    <w:rsid w:val="AEE72F3E"/>
    <w:rsid w:val="AEFF478B"/>
    <w:rsid w:val="AF534EA6"/>
    <w:rsid w:val="AF6F6F96"/>
    <w:rsid w:val="AFEB0FB7"/>
    <w:rsid w:val="AFFDAA41"/>
    <w:rsid w:val="B2F77E8F"/>
    <w:rsid w:val="B57FDA8A"/>
    <w:rsid w:val="B6CFB5A4"/>
    <w:rsid w:val="B6FF8B95"/>
    <w:rsid w:val="B77DA519"/>
    <w:rsid w:val="B7BF80D8"/>
    <w:rsid w:val="B7E7B9E0"/>
    <w:rsid w:val="B7F9DB1B"/>
    <w:rsid w:val="B7FD8860"/>
    <w:rsid w:val="BA7FC8D4"/>
    <w:rsid w:val="BAF1E0B4"/>
    <w:rsid w:val="BAFFC624"/>
    <w:rsid w:val="BB5EA8E1"/>
    <w:rsid w:val="BBDFC9F1"/>
    <w:rsid w:val="BBEACB54"/>
    <w:rsid w:val="BBFFCF14"/>
    <w:rsid w:val="BD5C8FEB"/>
    <w:rsid w:val="BD7D806D"/>
    <w:rsid w:val="BDFE90CB"/>
    <w:rsid w:val="BEDFAA3C"/>
    <w:rsid w:val="BEFFB435"/>
    <w:rsid w:val="BEFFFB61"/>
    <w:rsid w:val="BF7BEAEF"/>
    <w:rsid w:val="BF7C9461"/>
    <w:rsid w:val="BF7FD6AD"/>
    <w:rsid w:val="BFAE50C9"/>
    <w:rsid w:val="BFAFC33E"/>
    <w:rsid w:val="BFBE3331"/>
    <w:rsid w:val="BFDF1890"/>
    <w:rsid w:val="BFF93BCD"/>
    <w:rsid w:val="BFFDDA0F"/>
    <w:rsid w:val="BFFE56B6"/>
    <w:rsid w:val="C33D1A0E"/>
    <w:rsid w:val="C6EE9CC2"/>
    <w:rsid w:val="C6F50E21"/>
    <w:rsid w:val="C77F3E64"/>
    <w:rsid w:val="CA73C527"/>
    <w:rsid w:val="CB7903F3"/>
    <w:rsid w:val="CD7FB0DE"/>
    <w:rsid w:val="CE3F67D2"/>
    <w:rsid w:val="CF1FFBBD"/>
    <w:rsid w:val="CF7F9438"/>
    <w:rsid w:val="CFDFEF06"/>
    <w:rsid w:val="CFF7B6CB"/>
    <w:rsid w:val="CFFF0484"/>
    <w:rsid w:val="D6E4E183"/>
    <w:rsid w:val="D76DB9DC"/>
    <w:rsid w:val="D7F7A874"/>
    <w:rsid w:val="D7FFCF99"/>
    <w:rsid w:val="D9F7DF33"/>
    <w:rsid w:val="DAF3EE42"/>
    <w:rsid w:val="DB7D3253"/>
    <w:rsid w:val="DBBDCC11"/>
    <w:rsid w:val="DBCF1C74"/>
    <w:rsid w:val="DBF7EF33"/>
    <w:rsid w:val="DBFF1272"/>
    <w:rsid w:val="DC1D6733"/>
    <w:rsid w:val="DD2E983E"/>
    <w:rsid w:val="DDB7BDD0"/>
    <w:rsid w:val="DDEFF1FA"/>
    <w:rsid w:val="DEBDA1E5"/>
    <w:rsid w:val="DEFBA231"/>
    <w:rsid w:val="DEFFB117"/>
    <w:rsid w:val="DF37C3B2"/>
    <w:rsid w:val="DF3F7CEB"/>
    <w:rsid w:val="DF5D8B3F"/>
    <w:rsid w:val="DF933131"/>
    <w:rsid w:val="DFBD6501"/>
    <w:rsid w:val="DFBF064F"/>
    <w:rsid w:val="DFBF2B77"/>
    <w:rsid w:val="DFC35D6A"/>
    <w:rsid w:val="DFC5F0B9"/>
    <w:rsid w:val="DFEECBCD"/>
    <w:rsid w:val="DFEF030F"/>
    <w:rsid w:val="DFEF28F8"/>
    <w:rsid w:val="DFEF83A4"/>
    <w:rsid w:val="DFF9C820"/>
    <w:rsid w:val="DFFA3BF9"/>
    <w:rsid w:val="DFFDE145"/>
    <w:rsid w:val="DFFF2B10"/>
    <w:rsid w:val="E1E54461"/>
    <w:rsid w:val="E5514FC5"/>
    <w:rsid w:val="E55989D8"/>
    <w:rsid w:val="E5BE1689"/>
    <w:rsid w:val="E5F74FED"/>
    <w:rsid w:val="E6C62504"/>
    <w:rsid w:val="E6F30A63"/>
    <w:rsid w:val="E7BD5BFE"/>
    <w:rsid w:val="E7FEC510"/>
    <w:rsid w:val="E7FFEA75"/>
    <w:rsid w:val="E8CFCFB1"/>
    <w:rsid w:val="E9F74E15"/>
    <w:rsid w:val="EAF92AEF"/>
    <w:rsid w:val="EB7AFDB2"/>
    <w:rsid w:val="EB7EDA9F"/>
    <w:rsid w:val="EB7F8A78"/>
    <w:rsid w:val="EBB7C0A5"/>
    <w:rsid w:val="ECBD6233"/>
    <w:rsid w:val="ECBD8239"/>
    <w:rsid w:val="ECEF27EB"/>
    <w:rsid w:val="EDB7ADCA"/>
    <w:rsid w:val="EDDDD278"/>
    <w:rsid w:val="EDFBDD5D"/>
    <w:rsid w:val="EE4ADADF"/>
    <w:rsid w:val="EE7E9E6B"/>
    <w:rsid w:val="EEDD1C89"/>
    <w:rsid w:val="EEEFE626"/>
    <w:rsid w:val="EEF63E43"/>
    <w:rsid w:val="EF3FE988"/>
    <w:rsid w:val="EF598750"/>
    <w:rsid w:val="EF9EC9E4"/>
    <w:rsid w:val="EFBF2A4A"/>
    <w:rsid w:val="EFDB68A8"/>
    <w:rsid w:val="EFDC39C8"/>
    <w:rsid w:val="EFE5E364"/>
    <w:rsid w:val="EFE715B8"/>
    <w:rsid w:val="EFF3FADD"/>
    <w:rsid w:val="EFF7AB3A"/>
    <w:rsid w:val="EFFDA70C"/>
    <w:rsid w:val="F1BACE30"/>
    <w:rsid w:val="F1FF4251"/>
    <w:rsid w:val="F27E384A"/>
    <w:rsid w:val="F2FBD69D"/>
    <w:rsid w:val="F37574C6"/>
    <w:rsid w:val="F37E3795"/>
    <w:rsid w:val="F3FBBCFA"/>
    <w:rsid w:val="F5E6221E"/>
    <w:rsid w:val="F5F7416E"/>
    <w:rsid w:val="F5FB5981"/>
    <w:rsid w:val="F65F5346"/>
    <w:rsid w:val="F6EF11E5"/>
    <w:rsid w:val="F6F6862E"/>
    <w:rsid w:val="F6F7F33C"/>
    <w:rsid w:val="F6FF8D70"/>
    <w:rsid w:val="F72F1BFA"/>
    <w:rsid w:val="F75FECC9"/>
    <w:rsid w:val="F7779583"/>
    <w:rsid w:val="F77DCD00"/>
    <w:rsid w:val="F7AD5592"/>
    <w:rsid w:val="F7B6EAC3"/>
    <w:rsid w:val="F7B999E0"/>
    <w:rsid w:val="F7BD95AB"/>
    <w:rsid w:val="F7DE5C02"/>
    <w:rsid w:val="F7EDAF48"/>
    <w:rsid w:val="F7EFD53D"/>
    <w:rsid w:val="F7F390A7"/>
    <w:rsid w:val="F7F606AD"/>
    <w:rsid w:val="F7FBB7A4"/>
    <w:rsid w:val="F7FF96D4"/>
    <w:rsid w:val="F8FFCF35"/>
    <w:rsid w:val="F95B68CB"/>
    <w:rsid w:val="F97F40FF"/>
    <w:rsid w:val="F99FF271"/>
    <w:rsid w:val="F9AD1F67"/>
    <w:rsid w:val="F9AFB66B"/>
    <w:rsid w:val="FAD76D43"/>
    <w:rsid w:val="FAF7F620"/>
    <w:rsid w:val="FB47349F"/>
    <w:rsid w:val="FB77B6B1"/>
    <w:rsid w:val="FB7BBB4C"/>
    <w:rsid w:val="FBF7CF2B"/>
    <w:rsid w:val="FBFBA026"/>
    <w:rsid w:val="FC6BFFFD"/>
    <w:rsid w:val="FC6D68BF"/>
    <w:rsid w:val="FD69C8A7"/>
    <w:rsid w:val="FD7FA1AA"/>
    <w:rsid w:val="FDCF5BA0"/>
    <w:rsid w:val="FDDF9A78"/>
    <w:rsid w:val="FDF56306"/>
    <w:rsid w:val="FDFA0819"/>
    <w:rsid w:val="FDFDE8D4"/>
    <w:rsid w:val="FDFFD7D6"/>
    <w:rsid w:val="FE1B435E"/>
    <w:rsid w:val="FE9B3BF6"/>
    <w:rsid w:val="FEC57862"/>
    <w:rsid w:val="FEDEA618"/>
    <w:rsid w:val="FEEC612C"/>
    <w:rsid w:val="FEF9A950"/>
    <w:rsid w:val="FEFBBA87"/>
    <w:rsid w:val="FEFF52D3"/>
    <w:rsid w:val="FF2F4160"/>
    <w:rsid w:val="FF3BC03A"/>
    <w:rsid w:val="FF5F62FD"/>
    <w:rsid w:val="FF5FEEF6"/>
    <w:rsid w:val="FF6B3232"/>
    <w:rsid w:val="FF7BDCC0"/>
    <w:rsid w:val="FF7CA36C"/>
    <w:rsid w:val="FF7ECD51"/>
    <w:rsid w:val="FF7F07C9"/>
    <w:rsid w:val="FF7FF49A"/>
    <w:rsid w:val="FF8D0295"/>
    <w:rsid w:val="FF9F3544"/>
    <w:rsid w:val="FFADFEFF"/>
    <w:rsid w:val="FFB131BB"/>
    <w:rsid w:val="FFB7AF7B"/>
    <w:rsid w:val="FFBB7FE0"/>
    <w:rsid w:val="FFBE7E64"/>
    <w:rsid w:val="FFBF7AF1"/>
    <w:rsid w:val="FFBF869E"/>
    <w:rsid w:val="FFC60CE3"/>
    <w:rsid w:val="FFC8B07A"/>
    <w:rsid w:val="FFCA87EE"/>
    <w:rsid w:val="FFCF9414"/>
    <w:rsid w:val="FFCFF2DA"/>
    <w:rsid w:val="FFD9FF45"/>
    <w:rsid w:val="FFDADFCB"/>
    <w:rsid w:val="FFDDAF8F"/>
    <w:rsid w:val="FFDFB693"/>
    <w:rsid w:val="FFEF503E"/>
    <w:rsid w:val="FFEF9B7C"/>
    <w:rsid w:val="FFEFC450"/>
    <w:rsid w:val="FFF79A00"/>
    <w:rsid w:val="FFF7C15A"/>
    <w:rsid w:val="FFFB905F"/>
    <w:rsid w:val="FFFED70D"/>
    <w:rsid w:val="FFFF0277"/>
    <w:rsid w:val="FFFF3E31"/>
    <w:rsid w:val="FFFF9C33"/>
    <w:rsid w:val="FFFFCC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paragraph" w:styleId="2">
    <w:name w:val="heading 1"/>
    <w:basedOn w:val="1"/>
    <w:next w:val="1"/>
    <w:qFormat/>
    <w:uiPriority w:val="0"/>
    <w:pPr>
      <w:keepNext/>
      <w:keepLines/>
      <w:adjustRightInd w:val="0"/>
      <w:snapToGrid w:val="0"/>
      <w:spacing w:line="360" w:lineRule="auto"/>
      <w:jc w:val="left"/>
      <w:outlineLvl w:val="0"/>
    </w:pPr>
    <w:rPr>
      <w:rFonts w:ascii="黑体" w:hAnsi="黑体" w:eastAsia="黑体"/>
      <w:kern w:val="44"/>
    </w:rPr>
  </w:style>
  <w:style w:type="paragraph" w:styleId="3">
    <w:name w:val="heading 2"/>
    <w:basedOn w:val="1"/>
    <w:next w:val="1"/>
    <w:unhideWhenUsed/>
    <w:qFormat/>
    <w:uiPriority w:val="9"/>
    <w:pPr>
      <w:adjustRightInd w:val="0"/>
      <w:snapToGrid w:val="0"/>
      <w:spacing w:line="360" w:lineRule="auto"/>
      <w:jc w:val="left"/>
      <w:outlineLvl w:val="1"/>
    </w:pPr>
    <w:rPr>
      <w:rFonts w:hint="eastAsia" w:ascii="黑体" w:hAnsi="黑体" w:eastAsia="黑体" w:cs="Times New Roman"/>
      <w:kern w:val="0"/>
      <w:szCs w:val="36"/>
    </w:rPr>
  </w:style>
  <w:style w:type="character" w:default="1" w:styleId="13">
    <w:name w:val="Default Paragraph Font"/>
    <w:semiHidden/>
    <w:unhideWhenUsed/>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qFormat/>
    <w:uiPriority w:val="0"/>
    <w:pPr>
      <w:jc w:val="left"/>
    </w:pPr>
  </w:style>
  <w:style w:type="paragraph" w:styleId="5">
    <w:name w:val="Body Text"/>
    <w:basedOn w:val="1"/>
    <w:qFormat/>
    <w:uiPriority w:val="0"/>
    <w:pPr>
      <w:ind w:left="118"/>
      <w:jc w:val="left"/>
    </w:pPr>
    <w:rPr>
      <w:rFonts w:ascii="宋体" w:cs="宋体"/>
      <w:kern w:val="0"/>
      <w:lang w:eastAsia="en-US"/>
    </w:rPr>
  </w:style>
  <w:style w:type="paragraph" w:styleId="6">
    <w:name w:val="Balloon Text"/>
    <w:basedOn w:val="1"/>
    <w:qFormat/>
    <w:uiPriority w:val="0"/>
    <w:rPr>
      <w:sz w:val="18"/>
      <w:szCs w:val="18"/>
    </w:rPr>
  </w:style>
  <w:style w:type="paragraph" w:styleId="7">
    <w:name w:val="footer"/>
    <w:basedOn w:val="1"/>
    <w:link w:val="31"/>
    <w:qFormat/>
    <w:uiPriority w:val="99"/>
    <w:pPr>
      <w:tabs>
        <w:tab w:val="center" w:pos="4153"/>
        <w:tab w:val="right" w:pos="8306"/>
      </w:tabs>
      <w:snapToGrid w:val="0"/>
      <w:jc w:val="left"/>
    </w:pPr>
    <w:rPr>
      <w:sz w:val="18"/>
      <w:szCs w:val="18"/>
    </w:rPr>
  </w:style>
  <w:style w:type="paragraph" w:styleId="8">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0"/>
    <w:pPr>
      <w:widowControl/>
      <w:spacing w:before="100" w:beforeAutospacing="1" w:after="100" w:afterAutospacing="1"/>
      <w:jc w:val="left"/>
    </w:pPr>
    <w:rPr>
      <w:rFonts w:ascii="宋体" w:cs="宋体"/>
      <w:kern w:val="0"/>
      <w:sz w:val="24"/>
      <w:szCs w:val="24"/>
    </w:rPr>
  </w:style>
  <w:style w:type="paragraph" w:styleId="10">
    <w:name w:val="annotation subject"/>
    <w:basedOn w:val="4"/>
    <w:next w:val="4"/>
    <w:qFormat/>
    <w:uiPriority w:val="0"/>
    <w:rPr>
      <w:b/>
      <w:bCs/>
    </w:rPr>
  </w:style>
  <w:style w:type="table" w:styleId="12">
    <w:name w:val="Table Grid"/>
    <w:basedOn w:val="11"/>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4">
    <w:name w:val="Strong"/>
    <w:basedOn w:val="13"/>
    <w:qFormat/>
    <w:uiPriority w:val="22"/>
    <w:rPr>
      <w:b/>
    </w:rPr>
  </w:style>
  <w:style w:type="character" w:styleId="15">
    <w:name w:val="annotation reference"/>
    <w:basedOn w:val="13"/>
    <w:qFormat/>
    <w:uiPriority w:val="0"/>
    <w:rPr>
      <w:sz w:val="21"/>
      <w:szCs w:val="21"/>
    </w:rPr>
  </w:style>
  <w:style w:type="paragraph" w:customStyle="1" w:styleId="16">
    <w:name w:val="Fließtext"/>
    <w:basedOn w:val="1"/>
    <w:qFormat/>
    <w:uiPriority w:val="99"/>
    <w:pPr>
      <w:overflowPunct w:val="0"/>
      <w:autoSpaceDE w:val="0"/>
      <w:autoSpaceDN w:val="0"/>
      <w:adjustRightInd w:val="0"/>
      <w:textAlignment w:val="baseline"/>
    </w:pPr>
    <w:rPr>
      <w:kern w:val="28"/>
      <w:szCs w:val="20"/>
    </w:rPr>
  </w:style>
  <w:style w:type="paragraph" w:customStyle="1" w:styleId="17">
    <w:name w:val="段"/>
    <w:qFormat/>
    <w:uiPriority w:val="0"/>
    <w:pPr>
      <w:tabs>
        <w:tab w:val="center" w:pos="4201"/>
        <w:tab w:val="right" w:leader="dot" w:pos="9298"/>
      </w:tabs>
      <w:autoSpaceDE w:val="0"/>
      <w:autoSpaceDN w:val="0"/>
      <w:ind w:firstLine="200" w:firstLineChars="200"/>
      <w:jc w:val="both"/>
    </w:pPr>
    <w:rPr>
      <w:rFonts w:ascii="宋体" w:hAnsi="Times New Roman" w:eastAsia="宋体" w:cs="宋体"/>
      <w:sz w:val="21"/>
      <w:szCs w:val="21"/>
      <w:lang w:val="en-US" w:eastAsia="zh-CN" w:bidi="ar-SA"/>
    </w:rPr>
  </w:style>
  <w:style w:type="paragraph" w:customStyle="1" w:styleId="18">
    <w:name w:val="一级条标题"/>
    <w:next w:val="17"/>
    <w:qFormat/>
    <w:uiPriority w:val="0"/>
    <w:pPr>
      <w:numPr>
        <w:ilvl w:val="1"/>
        <w:numId w:val="1"/>
      </w:numPr>
      <w:spacing w:beforeLines="50" w:afterLines="50"/>
      <w:outlineLvl w:val="2"/>
    </w:pPr>
    <w:rPr>
      <w:rFonts w:ascii="黑体" w:hAnsi="Times New Roman" w:eastAsia="黑体" w:cs="黑体"/>
      <w:sz w:val="21"/>
      <w:szCs w:val="21"/>
      <w:lang w:val="en-US" w:eastAsia="zh-CN" w:bidi="ar-SA"/>
    </w:rPr>
  </w:style>
  <w:style w:type="paragraph" w:customStyle="1" w:styleId="19">
    <w:name w:val="章标题"/>
    <w:next w:val="17"/>
    <w:qFormat/>
    <w:uiPriority w:val="0"/>
    <w:pPr>
      <w:numPr>
        <w:ilvl w:val="0"/>
        <w:numId w:val="1"/>
      </w:numPr>
      <w:spacing w:beforeLines="100" w:afterLines="100"/>
      <w:jc w:val="both"/>
      <w:outlineLvl w:val="1"/>
    </w:pPr>
    <w:rPr>
      <w:rFonts w:ascii="黑体" w:hAnsi="Times New Roman" w:eastAsia="黑体" w:cs="黑体"/>
      <w:sz w:val="21"/>
      <w:szCs w:val="21"/>
      <w:lang w:val="en-US" w:eastAsia="zh-CN" w:bidi="ar-SA"/>
    </w:rPr>
  </w:style>
  <w:style w:type="paragraph" w:customStyle="1" w:styleId="20">
    <w:name w:val="二级条标题"/>
    <w:basedOn w:val="18"/>
    <w:next w:val="17"/>
    <w:qFormat/>
    <w:uiPriority w:val="0"/>
    <w:pPr>
      <w:numPr>
        <w:ilvl w:val="0"/>
        <w:numId w:val="0"/>
      </w:numPr>
      <w:spacing w:beforeLines="0" w:afterLines="0"/>
      <w:outlineLvl w:val="3"/>
    </w:pPr>
  </w:style>
  <w:style w:type="paragraph" w:customStyle="1" w:styleId="21">
    <w:name w:val="三级条标题"/>
    <w:basedOn w:val="20"/>
    <w:next w:val="17"/>
    <w:qFormat/>
    <w:uiPriority w:val="0"/>
    <w:pPr>
      <w:outlineLvl w:val="4"/>
    </w:pPr>
  </w:style>
  <w:style w:type="paragraph" w:customStyle="1" w:styleId="22">
    <w:name w:val="四级条标题"/>
    <w:basedOn w:val="21"/>
    <w:next w:val="17"/>
    <w:qFormat/>
    <w:uiPriority w:val="0"/>
    <w:pPr>
      <w:outlineLvl w:val="5"/>
    </w:pPr>
  </w:style>
  <w:style w:type="paragraph" w:customStyle="1" w:styleId="23">
    <w:name w:val="五级条标题"/>
    <w:basedOn w:val="22"/>
    <w:next w:val="17"/>
    <w:qFormat/>
    <w:uiPriority w:val="0"/>
    <w:pPr>
      <w:outlineLvl w:val="6"/>
    </w:pPr>
  </w:style>
  <w:style w:type="paragraph" w:customStyle="1" w:styleId="24">
    <w:name w:val="无间隔1"/>
    <w:qFormat/>
    <w:uiPriority w:val="0"/>
    <w:pPr>
      <w:widowControl w:val="0"/>
      <w:jc w:val="both"/>
    </w:pPr>
    <w:rPr>
      <w:rFonts w:ascii="Calibri" w:hAnsi="Calibri" w:eastAsia="宋体" w:cs="Calibri"/>
      <w:kern w:val="2"/>
      <w:sz w:val="21"/>
      <w:szCs w:val="21"/>
      <w:lang w:val="en-US" w:eastAsia="zh-CN" w:bidi="ar-SA"/>
    </w:rPr>
  </w:style>
  <w:style w:type="paragraph" w:customStyle="1" w:styleId="25">
    <w:name w:val="Table Paragraph"/>
    <w:basedOn w:val="1"/>
    <w:qFormat/>
    <w:uiPriority w:val="0"/>
    <w:pPr>
      <w:jc w:val="left"/>
    </w:pPr>
    <w:rPr>
      <w:kern w:val="0"/>
      <w:sz w:val="22"/>
      <w:szCs w:val="22"/>
      <w:lang w:eastAsia="en-US"/>
    </w:rPr>
  </w:style>
  <w:style w:type="character" w:customStyle="1" w:styleId="26">
    <w:name w:val="style7"/>
    <w:basedOn w:val="13"/>
    <w:qFormat/>
    <w:uiPriority w:val="0"/>
  </w:style>
  <w:style w:type="character" w:customStyle="1" w:styleId="27">
    <w:name w:val="bjh-p"/>
    <w:basedOn w:val="13"/>
    <w:qFormat/>
    <w:uiPriority w:val="0"/>
  </w:style>
  <w:style w:type="paragraph" w:customStyle="1" w:styleId="28">
    <w:name w:val="列出段落1"/>
    <w:basedOn w:val="1"/>
    <w:qFormat/>
    <w:uiPriority w:val="0"/>
    <w:pPr>
      <w:ind w:firstLine="200" w:firstLineChars="200"/>
    </w:pPr>
    <w:rPr>
      <w:rFonts w:ascii="Times New Roman" w:hAnsi="Times New Roman" w:cs="Times New Roman"/>
    </w:rPr>
  </w:style>
  <w:style w:type="paragraph" w:customStyle="1" w:styleId="29">
    <w:name w:val="修订1"/>
    <w:qFormat/>
    <w:uiPriority w:val="0"/>
    <w:rPr>
      <w:rFonts w:ascii="Calibri" w:hAnsi="Calibri" w:eastAsia="宋体" w:cs="Calibri"/>
      <w:kern w:val="2"/>
      <w:sz w:val="21"/>
      <w:szCs w:val="21"/>
      <w:lang w:val="en-US" w:eastAsia="zh-CN" w:bidi="ar-SA"/>
    </w:rPr>
  </w:style>
  <w:style w:type="paragraph" w:customStyle="1" w:styleId="30">
    <w:name w:val="修订2"/>
    <w:hidden/>
    <w:unhideWhenUsed/>
    <w:qFormat/>
    <w:uiPriority w:val="99"/>
    <w:rPr>
      <w:rFonts w:ascii="Calibri" w:hAnsi="Calibri" w:eastAsia="宋体" w:cs="Calibri"/>
      <w:kern w:val="2"/>
      <w:sz w:val="21"/>
      <w:szCs w:val="21"/>
      <w:lang w:val="en-US" w:eastAsia="zh-CN" w:bidi="ar-SA"/>
    </w:rPr>
  </w:style>
  <w:style w:type="character" w:customStyle="1" w:styleId="31">
    <w:name w:val="页脚 Char"/>
    <w:basedOn w:val="13"/>
    <w:link w:val="7"/>
    <w:qFormat/>
    <w:uiPriority w:val="99"/>
    <w:rPr>
      <w:rFonts w:ascii="Calibri" w:hAnsi="Calibri" w:cs="Calibr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header" Target="header6.xml"/><Relationship Id="rId8" Type="http://schemas.openxmlformats.org/officeDocument/2006/relationships/header" Target="header5.xml"/><Relationship Id="rId7" Type="http://schemas.openxmlformats.org/officeDocument/2006/relationships/header" Target="header4.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customXml" Target="../customXml/item2.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theme" Target="theme/theme1.xml"/><Relationship Id="rId12" Type="http://schemas.openxmlformats.org/officeDocument/2006/relationships/footer" Target="footer4.xml"/><Relationship Id="rId11" Type="http://schemas.openxmlformats.org/officeDocument/2006/relationships/footer" Target="footer3.xml"/><Relationship Id="rId10" Type="http://schemas.openxmlformats.org/officeDocument/2006/relationships/footer" Target="footer2.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51"/>
    <customShpInfo spid="_x0000_s2050"/>
    <customShpInfo spid="_x0000_s2049"/>
    <customShpInfo spid="_x0000_s2054"/>
    <customShpInfo spid="_x0000_s2053"/>
    <customShpInfo spid="_x0000_s2052"/>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7CB3928-5F46-439E-A8B5-262919EDBF35}">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11</Pages>
  <Words>3763</Words>
  <Characters>4130</Characters>
  <Lines>35</Lines>
  <Paragraphs>10</Paragraphs>
  <TotalTime>146</TotalTime>
  <ScaleCrop>false</ScaleCrop>
  <LinksUpToDate>false</LinksUpToDate>
  <CharactersWithSpaces>4268</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2024-11-06T09:38:00Z</dcterms:created>
  <dc:creator>池丽霞</dc:creator>
  <cp:lastModifiedBy>马雪</cp:lastModifiedBy>
  <cp:lastPrinted>2024-08-26T07:26:00Z</cp:lastPrinted>
  <dcterms:modified xsi:type="dcterms:W3CDTF">2025-04-03T08:45:18Z</dcterms:modified>
  <cp:revision>35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09DC1EF02621406486EB212DC05FE08B_13</vt:lpwstr>
  </property>
  <property fmtid="{D5CDD505-2E9C-101B-9397-08002B2CF9AE}" pid="4" name="KSOTemplateDocerSaveRecord">
    <vt:lpwstr>eyJoZGlkIjoiYzIyYzJkNzEzMjQwZjVlZDkxNjFjOTcxNmM5ZTUzYzAiLCJ1c2VySWQiOiI3MDQ5NzI3MjUifQ==</vt:lpwstr>
  </property>
</Properties>
</file>